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-236220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2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5278120</wp:posOffset>
            </wp:positionH>
            <wp:positionV relativeFrom="paragraph">
              <wp:posOffset>-631190</wp:posOffset>
            </wp:positionV>
            <wp:extent cx="58420" cy="6445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3998595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24130</wp:posOffset>
            </wp:positionV>
            <wp:extent cx="6992620" cy="59029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59029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60"/>
            <w:col w:w="8540"/>
          </w:cols>
          <w:pgMar w:left="460" w:top="216" w:right="359" w:bottom="1440" w:gutter="0" w:footer="0" w:header="0"/>
        </w:sectPr>
      </w:pP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Moore Patrick R.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 w:right="460"/>
        <w:spacing w:after="0" w:line="38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C/O NATIONAL VISION HOLDINGS, INC., 2435 COMMERCE AVENUE, BLDG. 2200</w:t>
      </w:r>
    </w:p>
    <w:p>
      <w:pPr>
        <w:spacing w:after="0" w:line="15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DULUTH</w:t>
            </w:r>
          </w:p>
        </w:tc>
        <w:tc>
          <w:tcPr>
            <w:tcW w:w="10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GA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30096-4980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208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National Vision Holdings,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EYE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03/05/2024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Chief Operating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80"/>
        <w:spacing w:after="0" w:line="235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37" w:lineRule="exact"/>
        <w:rPr>
          <w:sz w:val="24"/>
          <w:szCs w:val="24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15" w:lineRule="exact"/>
        <w:rPr>
          <w:sz w:val="24"/>
          <w:szCs w:val="24"/>
          <w:color w:val="auto"/>
        </w:rPr>
      </w:pPr>
    </w:p>
    <w:p>
      <w:pPr>
        <w:ind w:left="320" w:right="600"/>
        <w:spacing w:after="0" w:line="25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00"/>
            <w:col w:w="724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2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5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jc w:val="center"/>
              <w:ind w:left="531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jc w:val="center"/>
              <w:ind w:left="5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03/05/2024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center"/>
              <w:ind w:left="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1,278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ind w:lef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(1)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59,979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03/05/2024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2"/>
              </w:rPr>
              <w:t>F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0"/>
              </w:rPr>
              <w:t>382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0"/>
                <w:vertAlign w:val="superscript"/>
              </w:rPr>
              <w:t>(2)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22.62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59,597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03/05/2024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1"/>
              </w:rPr>
              <w:t>5,111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1"/>
                <w:vertAlign w:val="superscript"/>
              </w:rPr>
              <w:t>(3)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64,708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03/05/2024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2"/>
              </w:rPr>
              <w:t>F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1"/>
              </w:rPr>
              <w:t>1,526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1"/>
                <w:vertAlign w:val="superscript"/>
              </w:rPr>
              <w:t>(4)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22.62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63,182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1,278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03/05/2024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3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1,278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2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23,958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-2108835</wp:posOffset>
            </wp:positionV>
            <wp:extent cx="29210" cy="21139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139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2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Restricted stock units convert into common stock on a one-for-one basis.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Reflects payment of tax liability by withholding securities incident to vesting of restricted stock units.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Reflects issuance of shares upon vesting of performance stock units granted to the reporting person on March 5, 2021.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Reflects payment of tax liability by withholding securities incident to vesting of performance stock units.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 March 5, 2021, the reporting person was granted 3,833 restricted stock units, which vest in three equal installments on each anniversary of the grant date.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Jared Brandman, 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-8255</wp:posOffset>
            </wp:positionV>
            <wp:extent cx="97155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15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-14605</wp:posOffset>
            </wp:positionV>
            <wp:extent cx="72136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3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03/07/2024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-4445</wp:posOffset>
            </wp:positionH>
            <wp:positionV relativeFrom="paragraph">
              <wp:posOffset>-635</wp:posOffset>
            </wp:positionV>
            <wp:extent cx="48895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9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6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480" w:space="320"/>
            <w:col w:w="2280"/>
          </w:cols>
          <w:pgMar w:left="460" w:top="216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9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719844" TargetMode="External"/><Relationship Id="rId13" Type="http://schemas.openxmlformats.org/officeDocument/2006/relationships/hyperlink" Target="http://www.sec.gov/cgi-bin/browse-edgar?action=getcompany&amp;CIK=000171015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2024-03-07T15:19:28Z</dcterms:created>
  <dcterms:modified xsi:type="dcterms:W3CDTF">2024-03-07T15:19:28Z</dcterms:modified>
</cp:coreProperties>
</file>