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March 8, 2018</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firstLine="648"/>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8, 2018, National Vision Holdings, Inc. (“National Vision”) issued a press release announcing it's financial results for the quarter and full fiscal year ended December 30, 2017. A copy of the release is furnished herewith as Exhibit 99.1 and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6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w w:val="91"/>
              </w:rPr>
              <w:t>National Vision Holdings, Inc. Press Release dated March 8, 2018.</w:t>
            </w:r>
          </w:p>
        </w:tc>
      </w:tr>
    </w:tbl>
    <w:p>
      <w:pPr>
        <w:sectPr>
          <w:pgSz w:w="11900" w:h="16838" w:orient="portrait"/>
          <w:cols w:equalWidth="0" w:num="1">
            <w:col w:w="10179"/>
          </w:cols>
          <w:pgMar w:left="280" w:top="58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594"/>
        </w:trPr>
        <w:tc>
          <w:tcPr>
            <w:tcW w:w="3660" w:type="dxa"/>
            <w:vAlign w:val="bottom"/>
          </w:tcPr>
          <w:p>
            <w:pPr>
              <w:spacing w:after="0"/>
              <w:rPr>
                <w:sz w:val="20"/>
                <w:szCs w:val="20"/>
                <w:color w:val="auto"/>
              </w:rPr>
            </w:pPr>
            <w:r>
              <w:rPr>
                <w:rFonts w:ascii="Arial" w:cs="Arial" w:eastAsia="Arial" w:hAnsi="Arial"/>
                <w:sz w:val="18"/>
                <w:szCs w:val="18"/>
                <w:color w:val="auto"/>
              </w:rPr>
              <w:t>Date: March 8, 2018</w:t>
            </w:r>
          </w:p>
        </w:tc>
        <w:tc>
          <w:tcPr>
            <w:tcW w:w="2820" w:type="dxa"/>
            <w:vAlign w:val="bottom"/>
          </w:tcPr>
          <w:p>
            <w:pPr>
              <w:ind w:left="21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Mitchell Goodman</w:t>
            </w:r>
          </w:p>
        </w:tc>
      </w:tr>
      <w:tr>
        <w:trPr>
          <w:trHeight w:val="27"/>
        </w:trPr>
        <w:tc>
          <w:tcPr>
            <w:tcW w:w="3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Mitchell Goodman</w:t>
            </w:r>
          </w:p>
        </w:tc>
      </w:tr>
      <w:tr>
        <w:trPr>
          <w:trHeight w:val="270"/>
        </w:trPr>
        <w:tc>
          <w:tcPr>
            <w:tcW w:w="3660" w:type="dxa"/>
            <w:vAlign w:val="bottom"/>
          </w:tcPr>
          <w:p>
            <w:pPr>
              <w:spacing w:after="0"/>
              <w:rPr>
                <w:sz w:val="23"/>
                <w:szCs w:val="23"/>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Fourth Quarter and Fiscal 2017 Financial Results</w:t>
      </w:r>
    </w:p>
    <w:p>
      <w:pPr>
        <w:spacing w:after="0" w:line="31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Mar. 8, 2018 </w:t>
      </w:r>
      <w:r>
        <w:rPr>
          <w:rFonts w:ascii="Arial" w:cs="Arial" w:eastAsia="Arial" w:hAnsi="Arial"/>
          <w:sz w:val="18"/>
          <w:szCs w:val="18"/>
          <w:color w:val="auto"/>
        </w:rPr>
        <w:t>-- National Vision Holdings, Inc. (NASDAQ: EYE) (“National Vision” or the “Company”) today reported its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fourth quarter and fiscal year ended December 30, 2017 and is providing its outlook for fiscal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Summary:</w:t>
      </w:r>
    </w:p>
    <w:p>
      <w:pPr>
        <w:spacing w:after="0" w:line="2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16.1% to $321.8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was 11.5%; adjusted comparable store sales growth was 10.4%</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64th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$28.7 million, including a one-time deferred tax benefit of $43.0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19.4% to $25.0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Summary:</w:t>
      </w:r>
    </w:p>
    <w:p>
      <w:pPr>
        <w:spacing w:after="0" w:line="2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15.0% to $1.38 billion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was 8.4%; adjusted comparable store sales growth was 7.5%</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$45.8 million, including a one-time deferred tax benefit of $43.0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15.9% to $159.7 million</w:t>
      </w:r>
    </w:p>
    <w:p>
      <w:pPr>
        <w:spacing w:after="0" w:line="2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Reade Fahs, chief executive officer, stated, “The fourth quarter represented a strong finish to another record year of revenues and profitability for National Vision. The team delivered its 64th consecutive quarter of positive comparable store sales growth, once again driven by increases in customer transactions, with same store sales gains in all of our brands. Our fourth quarter results reinforce our belief that our strong value message continues to resonate with our cost-conscious patients and customers. We successfully opened 17 stores this quarter and continue to see a long runway for store growth. Every day our nearly 11,000 associates, including our 2,000 optometrists practicing in or next to our over 1,000 stores, work hard to make quality eye exams, eyeglasses and contact lenses more affordable in communities throughout the United States. We continue to believe that, as long as we provide great prices and great service to our patients and customers, we should be well-positioned in 2018 and beyond.”</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release uses the measures adjusted comparable store sales growth, adjusted EBITDA, adjusted EBITDA margin, adjusted net income and EBITDA, which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w:t>
      </w:r>
      <w:r>
        <w:rPr>
          <w:rFonts w:ascii="Arial" w:cs="Arial" w:eastAsia="Arial" w:hAnsi="Arial"/>
          <w:sz w:val="18"/>
          <w:szCs w:val="18"/>
          <w:i w:val="1"/>
          <w:iCs w:val="1"/>
          <w:color w:val="auto"/>
        </w:rPr>
        <w:t>below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2017 Highlights</w:t>
      </w:r>
    </w:p>
    <w:p>
      <w:pPr>
        <w:spacing w:after="0" w:line="2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increased 16.1% to $321.8 million from $277.1 million for the fourth quarter of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Comparable store sales growth of 11.5% and adjusted comparable store sales growth of 10.4% were driven by increases in customer transactions.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opened 17 new stores, closed no stores and ended the quarter with 1,013 stores.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believes that fourth quarter results benefited from the recovery in net revenue at 203 stores that were temporarily closed in the third quarter due to Hurricanes Harvey and Irma. The Company estimates that the overall impact to net revenue from hurricanes in the third and fourth quarters was not material.</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eye exam revenue as a result of changes in operations at FirstSight Vision Services, Inc. (“FirstSight”), the Company’s wholly-owned subsidiary, required by changes in applicable California law drove a favorable impact of approximately 260 basis points on comparable store sales growth in the legacy segment. In addition, in connection with these changes in California law, effective October 1, 2017, FirstSight ceased the sale of vision care products in Walmart locations in California that are not operated by the Company. As a result, FirstSight revenues and associated costs in the fourth quarter</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Unless indicated otherwise, the information in this release has been adjusted to give effect to a </w:t>
      </w:r>
      <w:r>
        <w:rPr>
          <w:rFonts w:ascii="Arial" w:cs="Arial" w:eastAsia="Arial" w:hAnsi="Arial"/>
          <w:sz w:val="18"/>
          <w:szCs w:val="18"/>
          <w:color w:val="auto"/>
        </w:rPr>
        <w:t>1.96627</w:t>
      </w:r>
      <w:r>
        <w:rPr>
          <w:rFonts w:ascii="Arial" w:cs="Arial" w:eastAsia="Arial" w:hAnsi="Arial"/>
          <w:sz w:val="18"/>
          <w:szCs w:val="18"/>
          <w:i w:val="1"/>
          <w:iCs w:val="1"/>
          <w:color w:val="auto"/>
        </w:rPr>
        <w:t>-for-one reverse stock split of the Company’s common stock effected on October 24, 2017 in connection with the Company</w:t>
      </w:r>
      <w:r>
        <w:rPr>
          <w:rFonts w:ascii="Arial" w:cs="Arial" w:eastAsia="Arial" w:hAnsi="Arial"/>
          <w:sz w:val="18"/>
          <w:szCs w:val="18"/>
          <w:color w:val="auto"/>
        </w:rPr>
        <w:t>’</w:t>
      </w:r>
      <w:r>
        <w:rPr>
          <w:rFonts w:ascii="Arial" w:cs="Arial" w:eastAsia="Arial" w:hAnsi="Arial"/>
          <w:sz w:val="18"/>
          <w:szCs w:val="18"/>
          <w:i w:val="1"/>
          <w:iCs w:val="1"/>
          <w:color w:val="auto"/>
        </w:rPr>
        <w:t>s initial public offering (</w:t>
      </w: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w:t>
      </w:r>
      <w:r>
        <w:rPr>
          <w:rFonts w:ascii="Arial" w:cs="Arial" w:eastAsia="Arial" w:hAnsi="Arial"/>
          <w:sz w:val="18"/>
          <w:szCs w:val="18"/>
          <w:i w:val="1"/>
          <w:iCs w:val="1"/>
          <w:color w:val="auto"/>
        </w:rPr>
        <w:t>).</w:t>
      </w:r>
    </w:p>
    <w:p>
      <w:pPr>
        <w:sectPr>
          <w:pgSz w:w="11900" w:h="16838" w:orient="portrait"/>
          <w:cols w:equalWidth="0" w:num="1">
            <w:col w:w="11420"/>
          </w:cols>
          <w:pgMar w:left="240" w:top="144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of 2017 were both approximately $1.5 million lower than the fourth quarter of 2016, and there was an immaterial impact on net income.</w:t>
      </w:r>
    </w:p>
    <w:p>
      <w:pPr>
        <w:spacing w:after="0" w:line="23" w:lineRule="exact"/>
        <w:rPr>
          <w:sz w:val="20"/>
          <w:szCs w:val="20"/>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16.9% to $152.4 million from $130.3 million for the fourth quarter of 2016. As a percentage of net revenue, costs applicable to revenue increased 40 basis points to 47.4% from 47.0% for the fourth quarter of 2016. This increase, as a percentage of net revenue, was primarily driven by higher optometrist costs.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18.1% to $152.2 million from $128.9 million for the fourth quarter of 2016. As a percentage of net revenue, SG&amp;A increased 80 basis points to 47.3% from 46.5% for the fourth quarter of 2016. This increase as a percentage of net revenue was primarily driven by a monitoring agreement termination fee paid to Kohlberg Kravis Roberts &amp; Co. L.P. (“KKR”) and Berkshire Partners LLC (“Berkshire”) in connection with the completion of the Company’s IPO in the fourth quarter of 2017, and to a lesser extent, higher write-offs of certain managed care receivables, partially offset by advertising and occupancy expense.</w:t>
      </w:r>
    </w:p>
    <w:p>
      <w:pPr>
        <w:spacing w:after="0" w:line="2"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Depreciation and amortization expense increased 21.5% to $16.7 million from $13.8 million for the fourth quarter of 2016, primarily driven by new store openings and other ongoing growth capital investment in the Company’s information technology infrastructure, eyeglass laboratories, and distribution centers. The capitalization of the Company’s omni-channel related investment in the fourth quarter of 2017 also contributed to the increase.</w:t>
      </w:r>
    </w:p>
    <w:p>
      <w:pPr>
        <w:spacing w:after="0" w:line="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expense increased $4.9 million compared to the fourth quarter of 2016. Interest expense increased $3.2 million for deferred financing fee write-offs related to IPO debt paydown, $2.5 million related to interest payments due to counterparties associated with the Company’s derivative cash flow hedges, partially offset by $1.0 million in lower interest expense related to lower principal outstanding under the first lien credit agreement.</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 benefit increased $44.6 million compared to the fourth quarter of 2016. As a result of the Tax Cuts and Jobs Act (the “Tax Act”) enacted on December 22, 2017 by the U.S. government, the Company recorded a one-time tax benefit of $43.0 million due to a remeasurement of deferred tax assets and liabilities in the three months ended December 30, 2017. The Company incurred approximately $2.0 million in income tax expense in the fourth quarter of 2017 driven primarily by one-time discrete tax items.</w:t>
      </w:r>
    </w:p>
    <w:p>
      <w:pPr>
        <w:spacing w:after="0" w:line="14" w:lineRule="exact"/>
        <w:rPr>
          <w:rFonts w:ascii="Arial" w:cs="Arial" w:eastAsia="Arial" w:hAnsi="Arial"/>
          <w:sz w:val="18"/>
          <w:szCs w:val="18"/>
          <w:color w:val="auto"/>
        </w:rPr>
      </w:pPr>
    </w:p>
    <w:p>
      <w:pPr>
        <w:jc w:val="both"/>
        <w:ind w:left="340" w:hanging="332"/>
        <w:spacing w:after="0" w:line="267" w:lineRule="auto"/>
        <w:tabs>
          <w:tab w:leader="none" w:pos="340" w:val="left"/>
        </w:tabs>
        <w:numPr>
          <w:ilvl w:val="0"/>
          <w:numId w:val="6"/>
        </w:numPr>
        <w:rPr>
          <w:rFonts w:ascii="Arial" w:cs="Arial" w:eastAsia="Arial" w:hAnsi="Arial"/>
          <w:sz w:val="22"/>
          <w:szCs w:val="22"/>
          <w:i w:val="1"/>
          <w:iCs w:val="1"/>
          <w:color w:val="auto"/>
        </w:rPr>
      </w:pPr>
      <w:r>
        <w:rPr>
          <w:rFonts w:ascii="Arial" w:cs="Arial" w:eastAsia="Arial" w:hAnsi="Arial"/>
          <w:sz w:val="18"/>
          <w:szCs w:val="18"/>
          <w:color w:val="auto"/>
        </w:rPr>
        <w:t>Net income was $28.7 million, or $0.39 per diluted share, compared to a net loss of $9.7 million, or $0.17 per diluted share, for the fourth quarter of 2016. This increase in net income was due primarily to the one-time deferred tax benefit, partially offset by an increase in interest expense as well as the monitoring agreement termination fee.</w:t>
      </w:r>
    </w:p>
    <w:p>
      <w:pPr>
        <w:spacing w:after="0" w:line="1" w:lineRule="exact"/>
        <w:rPr>
          <w:rFonts w:ascii="Arial" w:cs="Arial" w:eastAsia="Arial" w:hAnsi="Arial"/>
          <w:sz w:val="22"/>
          <w:szCs w:val="22"/>
          <w:i w:val="1"/>
          <w:iCs w:val="1"/>
          <w:color w:val="auto"/>
        </w:rPr>
      </w:pPr>
    </w:p>
    <w:p>
      <w:pPr>
        <w:jc w:val="both"/>
        <w:ind w:left="340" w:hanging="332"/>
        <w:spacing w:after="0" w:line="25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loss was $3.0 million compared to $1.7 million for the fourth quarter of 2016. Adjusted net loss for the 2017 period excluded the one-time deferred tax benefit, partially offset by the exclusion of the monitoring agreement termination fee and debt issuance costs. Adjusted net loss was affected by the $2.0 million in additional income tax expense, $1.8 million in increased depreciation and amortization expense, net of tax, and $1.0 million in increased interest expense, net of tax.</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increased 19.4% to $25.0 million compared to $21.0 million for the fourth quarter of 2016. Adjusted EBITDA margin increased 20 basis points to 7.8% from 7.6% for the fourth quarter of 2016.</w:t>
      </w: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revenue and adjusted EBITDA results above do not include the $2.4 million net decrease in deferred revenue in the fourth quarter of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Highlights</w:t>
      </w:r>
    </w:p>
    <w:p>
      <w:pPr>
        <w:spacing w:after="0" w:line="2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15.0% to $1.38 billion from $1.20 billion for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Comparable store sales growth of 8.4% and adjusted comparable store sales growth of 7.5% were driven by an increase in customer transactions.</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opened 76 stores, closed six stores and ended the period with 1,013 stores. Overall, store count grew 7.4% from January 1, 2017 to December 30, 2017.</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Incremental eye exam revenue as a result of changes to the Company’s FirstSight operations required by changes in applicable California law drove a favorable impact of approximately 145 basis points on comparable store sales growth in the legacy segment.</w:t>
      </w: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applicable to revenue increased 16.9% to $637.0 million from $544.8 million for 2016. As a percentage of net revenue, costs applicable to revenue increased 80 basis points to 46.3% from 45.5% for 2016. This increase, as a percentage of net revenue, was driven by higher wholesale fulfillment mix and higher optometrist costs, as well as a $2.3 million write-off of slow-moving contact lens inventory which had expired or would expire prior to possible sale in the first half of 2017.</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increased 14.1% to $597.9 million from $524.2 million for 2016. As a percentage of net revenue, SG&amp;A declined 30 basis points to 43.5% from 43.8% for 2016. This decline, as a percentage of net revenue, was primarily driven by occupancy expense, certain e-commerce partner fees, advertising and corporate overhead, partially offset by the monitoring agreement termination fee paid to KKR and Berkshire in connection with the completion of the Company’s IPO and write-offs of certain managed care receivables.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Depreciation and amortization expense increased 17.5% to $61.1 million from $52.0 million for 2016, primarily driven by new store openings and other ongoing capital investment in the Company’s information technology infrastructure, eyeglass laboratories, and distribution centers.</w:t>
      </w: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increased $16.4 million compared to 2016. Interest expense increased $3.2 million due to additional deferred debt cost amortization impacted by the $125 million pay off of the second lien credit agreement, and $8.7 million related to interest payments due to counterparties associated with the Company’s derivative cash flow hedges. The remaining increase</w:t>
      </w:r>
    </w:p>
    <w:p>
      <w:pPr>
        <w:sectPr>
          <w:pgSz w:w="11900" w:h="16838" w:orient="portrait"/>
          <w:cols w:equalWidth="0" w:num="1">
            <w:col w:w="11420"/>
          </w:cols>
          <w:pgMar w:left="240" w:top="611" w:right="239" w:bottom="1440" w:gutter="0" w:footer="0" w:header="0"/>
        </w:sectPr>
      </w:pPr>
    </w:p>
    <w:bookmarkStart w:id="6" w:name="page7"/>
    <w:bookmarkEnd w:id="6"/>
    <w:p>
      <w:pPr>
        <w:ind w:left="340"/>
        <w:spacing w:after="0" w:line="282" w:lineRule="auto"/>
        <w:rPr>
          <w:sz w:val="20"/>
          <w:szCs w:val="20"/>
          <w:color w:val="auto"/>
        </w:rPr>
      </w:pPr>
      <w:r>
        <w:rPr>
          <w:rFonts w:ascii="Arial" w:cs="Arial" w:eastAsia="Arial" w:hAnsi="Arial"/>
          <w:sz w:val="18"/>
          <w:szCs w:val="18"/>
          <w:color w:val="auto"/>
        </w:rPr>
        <w:t>of interest expense, net, primarily results from the additional principal outstanding under the first lien credit agreement to fund the February 2, 2017 recapitalization dividend.</w:t>
      </w:r>
    </w:p>
    <w:p>
      <w:pPr>
        <w:spacing w:after="0" w:line="1" w:lineRule="exact"/>
        <w:rPr>
          <w:sz w:val="20"/>
          <w:szCs w:val="20"/>
          <w:color w:val="auto"/>
        </w:rPr>
      </w:pPr>
    </w:p>
    <w:p>
      <w:pPr>
        <w:ind w:left="340" w:right="2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 benefit increased $51.2 million compared to 2016. As a result of the Tax Act, the Company recorded a one-time tax benefit of $43.0 million due to a remeasurement of deferred tax assets and liabilities in the three months ended December 30, 2017.</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was $45.8 million, or $0.74 per diluted share, compared to $14.8 million, or $0.26 per diluted share for 2016. The increase in net income was due to the one-time deferred tax benefit, partially offset by the increase in interest expense, as well as a litigation settlement, debt issuance costs, the monitoring agreement termination fee, and non-cash inventory write-offs.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was $33.1 million compared to $33.2 million for 2016. Adjusted net income for the 2017 period excluded the one-time deferred tax benefit, the litigation settlement, management fees including the monitoring agreement termination fee, debt issuance costs, and non-cash inventory write-offs.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increased 15.9% to $159.7 million compared to $137.8 million for 2016. Adjusted EBITDA margin increased 10 basis points to 11.6% from 11.5% for 2016.</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 and adjusted EBITDA results above do not include the $6.8 million net increase in deferred revenue in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December 30, 2017</w:t>
      </w:r>
    </w:p>
    <w:p>
      <w:pPr>
        <w:spacing w:after="0" w:line="27" w:lineRule="exact"/>
        <w:rPr>
          <w:sz w:val="20"/>
          <w:szCs w:val="20"/>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cash balance was $4.2 million as of December 30, 2017. The Company had no borrowings under its $100 million first lien revolving credit facility, exclusive of letters of credit of $11.2 million</w:t>
      </w:r>
      <w:r>
        <w:rPr>
          <w:rFonts w:ascii="Arial" w:cs="Arial" w:eastAsia="Arial" w:hAnsi="Arial"/>
          <w:sz w:val="18"/>
          <w:szCs w:val="18"/>
          <w:color w:val="FF0000"/>
        </w:rPr>
        <w:t>.</w:t>
      </w:r>
    </w:p>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was $569.2 million as of December 30, 2017, consisting of outstanding first lien term loans. During the quarter, the Company completed its IPO in which it issued 18,170,000 shares of common stock at an IPO price of $22.00 per share. Using proceeds from its IPO, the Company repaid all $125 million outstanding aggregate amount of the Company’s second lien term loans and approximately $235 million of the outstanding amount of the first lien term loans and accrued and unpaid interest thereon.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flows from operating activities for 2017 were $90.3 million compared to $97.6 million for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for 2017 totaled $93.2 million compared to $90.0 million for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outlook for the fiscal year ending December 29, 2018:</w:t>
      </w:r>
    </w:p>
    <w:p>
      <w:pPr>
        <w:spacing w:after="0" w:line="369"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Fiscal 2018 Outlook</w:t>
            </w:r>
          </w:p>
        </w:tc>
      </w:tr>
      <w:tr>
        <w:trPr>
          <w:trHeight w:val="27"/>
        </w:trPr>
        <w:tc>
          <w:tcPr>
            <w:tcW w:w="3140" w:type="dxa"/>
            <w:vAlign w:val="bottom"/>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r>
      <w:tr>
        <w:trPr>
          <w:trHeight w:val="237"/>
        </w:trPr>
        <w:tc>
          <w:tcPr>
            <w:tcW w:w="3140" w:type="dxa"/>
            <w:vAlign w:val="bottom"/>
          </w:tcPr>
          <w:p>
            <w:pPr>
              <w:jc w:val="center"/>
              <w:ind w:right="50"/>
              <w:spacing w:after="0"/>
              <w:rPr>
                <w:sz w:val="20"/>
                <w:szCs w:val="20"/>
                <w:color w:val="auto"/>
              </w:rPr>
            </w:pPr>
            <w:r>
              <w:rPr>
                <w:rFonts w:ascii="Arial" w:cs="Arial" w:eastAsia="Arial" w:hAnsi="Arial"/>
                <w:sz w:val="18"/>
                <w:szCs w:val="18"/>
                <w:color w:val="auto"/>
                <w:w w:val="90"/>
              </w:rPr>
              <w:t>New Stores</w:t>
            </w:r>
          </w:p>
        </w:tc>
        <w:tc>
          <w:tcPr>
            <w:tcW w:w="2800" w:type="dxa"/>
            <w:vAlign w:val="bottom"/>
            <w:gridSpan w:val="2"/>
          </w:tcPr>
          <w:p>
            <w:pPr>
              <w:jc w:val="center"/>
              <w:spacing w:after="0"/>
              <w:rPr>
                <w:sz w:val="20"/>
                <w:szCs w:val="20"/>
                <w:color w:val="auto"/>
              </w:rPr>
            </w:pPr>
            <w:r>
              <w:rPr>
                <w:rFonts w:ascii="Arial" w:cs="Arial" w:eastAsia="Arial" w:hAnsi="Arial"/>
                <w:sz w:val="18"/>
                <w:szCs w:val="18"/>
                <w:color w:val="auto"/>
                <w:w w:val="90"/>
              </w:rPr>
              <w:t>~75 New Stores</w:t>
            </w:r>
          </w:p>
        </w:tc>
      </w:tr>
      <w:tr>
        <w:trPr>
          <w:trHeight w:val="270"/>
        </w:trPr>
        <w:tc>
          <w:tcPr>
            <w:tcW w:w="3140" w:type="dxa"/>
            <w:vAlign w:val="bottom"/>
          </w:tcPr>
          <w:p>
            <w:pPr>
              <w:jc w:val="center"/>
              <w:ind w:right="30"/>
              <w:spacing w:after="0"/>
              <w:rPr>
                <w:sz w:val="20"/>
                <w:szCs w:val="20"/>
                <w:color w:val="auto"/>
              </w:rPr>
            </w:pPr>
            <w:r>
              <w:rPr>
                <w:rFonts w:ascii="Arial" w:cs="Arial" w:eastAsia="Arial" w:hAnsi="Arial"/>
                <w:sz w:val="18"/>
                <w:szCs w:val="18"/>
                <w:color w:val="auto"/>
                <w:w w:val="90"/>
              </w:rPr>
              <w:t>Adjusted Comparable Store Sales Growth</w:t>
            </w:r>
          </w:p>
        </w:tc>
        <w:tc>
          <w:tcPr>
            <w:tcW w:w="1060" w:type="dxa"/>
            <w:vAlign w:val="bottom"/>
          </w:tcPr>
          <w:p>
            <w:pPr>
              <w:spacing w:after="0"/>
              <w:rPr>
                <w:sz w:val="23"/>
                <w:szCs w:val="23"/>
                <w:color w:val="auto"/>
              </w:rPr>
            </w:pPr>
          </w:p>
        </w:tc>
        <w:tc>
          <w:tcPr>
            <w:tcW w:w="1740" w:type="dxa"/>
            <w:vAlign w:val="bottom"/>
          </w:tcPr>
          <w:p>
            <w:pPr>
              <w:jc w:val="right"/>
              <w:ind w:right="1090"/>
              <w:spacing w:after="0"/>
              <w:rPr>
                <w:sz w:val="20"/>
                <w:szCs w:val="20"/>
                <w:color w:val="auto"/>
              </w:rPr>
            </w:pPr>
            <w:r>
              <w:rPr>
                <w:rFonts w:ascii="Arial" w:cs="Arial" w:eastAsia="Arial" w:hAnsi="Arial"/>
                <w:sz w:val="18"/>
                <w:szCs w:val="18"/>
                <w:color w:val="auto"/>
              </w:rPr>
              <w:t>3 - 5%</w:t>
            </w:r>
          </w:p>
        </w:tc>
      </w:tr>
      <w:tr>
        <w:trPr>
          <w:trHeight w:val="270"/>
        </w:trPr>
        <w:tc>
          <w:tcPr>
            <w:tcW w:w="3140" w:type="dxa"/>
            <w:vAlign w:val="bottom"/>
          </w:tcPr>
          <w:p>
            <w:pPr>
              <w:jc w:val="center"/>
              <w:ind w:right="50"/>
              <w:spacing w:after="0"/>
              <w:rPr>
                <w:sz w:val="20"/>
                <w:szCs w:val="20"/>
                <w:color w:val="auto"/>
              </w:rPr>
            </w:pPr>
            <w:r>
              <w:rPr>
                <w:rFonts w:ascii="Arial" w:cs="Arial" w:eastAsia="Arial" w:hAnsi="Arial"/>
                <w:sz w:val="18"/>
                <w:szCs w:val="18"/>
                <w:color w:val="auto"/>
                <w:w w:val="87"/>
              </w:rPr>
              <w:t>Net Revenue</w:t>
            </w:r>
          </w:p>
        </w:tc>
        <w:tc>
          <w:tcPr>
            <w:tcW w:w="2800" w:type="dxa"/>
            <w:vAlign w:val="bottom"/>
            <w:gridSpan w:val="2"/>
          </w:tcPr>
          <w:p>
            <w:pPr>
              <w:jc w:val="center"/>
              <w:spacing w:after="0"/>
              <w:rPr>
                <w:sz w:val="20"/>
                <w:szCs w:val="20"/>
                <w:color w:val="auto"/>
              </w:rPr>
            </w:pPr>
            <w:r>
              <w:rPr>
                <w:rFonts w:ascii="Arial" w:cs="Arial" w:eastAsia="Arial" w:hAnsi="Arial"/>
                <w:sz w:val="18"/>
                <w:szCs w:val="18"/>
                <w:color w:val="auto"/>
                <w:w w:val="93"/>
              </w:rPr>
              <w:t>$1.485 - $1.515 billion</w:t>
            </w:r>
          </w:p>
        </w:tc>
      </w:tr>
      <w:tr>
        <w:trPr>
          <w:trHeight w:val="270"/>
        </w:trPr>
        <w:tc>
          <w:tcPr>
            <w:tcW w:w="3140" w:type="dxa"/>
            <w:vAlign w:val="bottom"/>
          </w:tcPr>
          <w:p>
            <w:pPr>
              <w:jc w:val="center"/>
              <w:ind w:right="50"/>
              <w:spacing w:after="0"/>
              <w:rPr>
                <w:sz w:val="20"/>
                <w:szCs w:val="20"/>
                <w:color w:val="auto"/>
              </w:rPr>
            </w:pPr>
            <w:r>
              <w:rPr>
                <w:rFonts w:ascii="Arial" w:cs="Arial" w:eastAsia="Arial" w:hAnsi="Arial"/>
                <w:sz w:val="18"/>
                <w:szCs w:val="18"/>
                <w:color w:val="auto"/>
                <w:w w:val="97"/>
              </w:rPr>
              <w:t>Adjusted EBITDA</w:t>
            </w: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c>
          <w:tcPr>
            <w:tcW w:w="1740" w:type="dxa"/>
            <w:vAlign w:val="bottom"/>
          </w:tcPr>
          <w:p>
            <w:pPr>
              <w:ind w:left="20"/>
              <w:spacing w:after="0"/>
              <w:rPr>
                <w:sz w:val="20"/>
                <w:szCs w:val="20"/>
                <w:color w:val="auto"/>
              </w:rPr>
            </w:pPr>
            <w:r>
              <w:rPr>
                <w:rFonts w:ascii="Arial" w:cs="Arial" w:eastAsia="Arial" w:hAnsi="Arial"/>
                <w:sz w:val="18"/>
                <w:szCs w:val="18"/>
                <w:color w:val="auto"/>
              </w:rPr>
              <w:t>- $177 million</w:t>
            </w:r>
          </w:p>
        </w:tc>
      </w:tr>
      <w:tr>
        <w:trPr>
          <w:trHeight w:val="270"/>
        </w:trPr>
        <w:tc>
          <w:tcPr>
            <w:tcW w:w="3140" w:type="dxa"/>
            <w:vAlign w:val="bottom"/>
          </w:tcPr>
          <w:p>
            <w:pPr>
              <w:jc w:val="center"/>
              <w:ind w:right="30"/>
              <w:spacing w:after="0"/>
              <w:rPr>
                <w:sz w:val="20"/>
                <w:szCs w:val="20"/>
                <w:color w:val="auto"/>
              </w:rPr>
            </w:pPr>
            <w:r>
              <w:rPr>
                <w:rFonts w:ascii="Arial" w:cs="Arial" w:eastAsia="Arial" w:hAnsi="Arial"/>
                <w:sz w:val="18"/>
                <w:szCs w:val="18"/>
                <w:color w:val="auto"/>
                <w:w w:val="92"/>
              </w:rPr>
              <w:t>Adjusted Net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740" w:type="dxa"/>
            <w:vAlign w:val="bottom"/>
          </w:tcPr>
          <w:p>
            <w:pPr>
              <w:ind w:left="20"/>
              <w:spacing w:after="0"/>
              <w:rPr>
                <w:sz w:val="20"/>
                <w:szCs w:val="20"/>
                <w:color w:val="auto"/>
              </w:rPr>
            </w:pPr>
            <w:r>
              <w:rPr>
                <w:rFonts w:ascii="Arial" w:cs="Arial" w:eastAsia="Arial" w:hAnsi="Arial"/>
                <w:sz w:val="18"/>
                <w:szCs w:val="18"/>
                <w:color w:val="auto"/>
              </w:rPr>
              <w:t>- $56 million</w:t>
            </w:r>
          </w:p>
        </w:tc>
      </w:tr>
      <w:tr>
        <w:trPr>
          <w:trHeight w:val="270"/>
        </w:trPr>
        <w:tc>
          <w:tcPr>
            <w:tcW w:w="3140" w:type="dxa"/>
            <w:vAlign w:val="bottom"/>
          </w:tcPr>
          <w:p>
            <w:pPr>
              <w:jc w:val="center"/>
              <w:ind w:right="50"/>
              <w:spacing w:after="0"/>
              <w:rPr>
                <w:sz w:val="20"/>
                <w:szCs w:val="20"/>
                <w:color w:val="auto"/>
              </w:rPr>
            </w:pPr>
            <w:r>
              <w:rPr>
                <w:rFonts w:ascii="Arial" w:cs="Arial" w:eastAsia="Arial" w:hAnsi="Arial"/>
                <w:sz w:val="18"/>
                <w:szCs w:val="18"/>
                <w:color w:val="auto"/>
                <w:w w:val="92"/>
              </w:rPr>
              <w:t>Depreciation and Amortization</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740" w:type="dxa"/>
            <w:vAlign w:val="bottom"/>
          </w:tcPr>
          <w:p>
            <w:pPr>
              <w:ind w:left="20"/>
              <w:spacing w:after="0"/>
              <w:rPr>
                <w:sz w:val="20"/>
                <w:szCs w:val="20"/>
                <w:color w:val="auto"/>
              </w:rPr>
            </w:pPr>
            <w:r>
              <w:rPr>
                <w:rFonts w:ascii="Arial" w:cs="Arial" w:eastAsia="Arial" w:hAnsi="Arial"/>
                <w:sz w:val="18"/>
                <w:szCs w:val="18"/>
                <w:color w:val="auto"/>
              </w:rPr>
              <w:t>- $73 million</w:t>
            </w:r>
          </w:p>
        </w:tc>
      </w:tr>
      <w:tr>
        <w:trPr>
          <w:trHeight w:val="270"/>
        </w:trPr>
        <w:tc>
          <w:tcPr>
            <w:tcW w:w="3140" w:type="dxa"/>
            <w:vAlign w:val="bottom"/>
          </w:tcPr>
          <w:p>
            <w:pPr>
              <w:jc w:val="center"/>
              <w:ind w:right="30"/>
              <w:spacing w:after="0"/>
              <w:rPr>
                <w:sz w:val="20"/>
                <w:szCs w:val="20"/>
                <w:color w:val="auto"/>
              </w:rPr>
            </w:pPr>
            <w:r>
              <w:rPr>
                <w:rFonts w:ascii="Arial" w:cs="Arial" w:eastAsia="Arial" w:hAnsi="Arial"/>
                <w:sz w:val="18"/>
                <w:szCs w:val="18"/>
                <w:color w:val="auto"/>
                <w:w w:val="89"/>
              </w:rPr>
              <w:t>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740" w:type="dxa"/>
            <w:vAlign w:val="bottom"/>
          </w:tcPr>
          <w:p>
            <w:pPr>
              <w:ind w:left="20"/>
              <w:spacing w:after="0"/>
              <w:rPr>
                <w:sz w:val="20"/>
                <w:szCs w:val="20"/>
                <w:color w:val="auto"/>
              </w:rPr>
            </w:pPr>
            <w:r>
              <w:rPr>
                <w:rFonts w:ascii="Arial" w:cs="Arial" w:eastAsia="Arial" w:hAnsi="Arial"/>
                <w:sz w:val="18"/>
                <w:szCs w:val="18"/>
                <w:color w:val="auto"/>
              </w:rPr>
              <w:t>- $38 million</w:t>
            </w:r>
          </w:p>
        </w:tc>
      </w:tr>
      <w:tr>
        <w:trPr>
          <w:trHeight w:val="270"/>
        </w:trPr>
        <w:tc>
          <w:tcPr>
            <w:tcW w:w="3140" w:type="dxa"/>
            <w:vAlign w:val="bottom"/>
          </w:tcPr>
          <w:p>
            <w:pPr>
              <w:jc w:val="center"/>
              <w:ind w:right="50"/>
              <w:spacing w:after="0"/>
              <w:rPr>
                <w:sz w:val="20"/>
                <w:szCs w:val="20"/>
                <w:color w:val="auto"/>
              </w:rPr>
            </w:pPr>
            <w:r>
              <w:rPr>
                <w:rFonts w:ascii="Arial" w:cs="Arial" w:eastAsia="Arial" w:hAnsi="Arial"/>
                <w:sz w:val="18"/>
                <w:szCs w:val="18"/>
                <w:color w:val="auto"/>
                <w:w w:val="87"/>
              </w:rPr>
              <w:t>Tax Rate</w:t>
            </w:r>
          </w:p>
        </w:tc>
        <w:tc>
          <w:tcPr>
            <w:tcW w:w="1060" w:type="dxa"/>
            <w:vAlign w:val="bottom"/>
          </w:tcPr>
          <w:p>
            <w:pPr>
              <w:spacing w:after="0"/>
              <w:rPr>
                <w:sz w:val="23"/>
                <w:szCs w:val="23"/>
                <w:color w:val="auto"/>
              </w:rPr>
            </w:pPr>
          </w:p>
        </w:tc>
        <w:tc>
          <w:tcPr>
            <w:tcW w:w="1740" w:type="dxa"/>
            <w:vAlign w:val="bottom"/>
          </w:tcPr>
          <w:p>
            <w:pPr>
              <w:jc w:val="right"/>
              <w:ind w:right="1050"/>
              <w:spacing w:after="0"/>
              <w:rPr>
                <w:sz w:val="20"/>
                <w:szCs w:val="20"/>
                <w:color w:val="auto"/>
              </w:rPr>
            </w:pPr>
            <w:r>
              <w:rPr>
                <w:rFonts w:ascii="Arial" w:cs="Arial" w:eastAsia="Arial" w:hAnsi="Arial"/>
                <w:sz w:val="18"/>
                <w:szCs w:val="18"/>
                <w:color w:val="auto"/>
                <w:w w:val="94"/>
              </w:rPr>
              <w:t>~26.0%</w:t>
            </w:r>
          </w:p>
        </w:tc>
      </w:tr>
      <w:tr>
        <w:trPr>
          <w:trHeight w:val="270"/>
        </w:trPr>
        <w:tc>
          <w:tcPr>
            <w:tcW w:w="3140" w:type="dxa"/>
            <w:vAlign w:val="bottom"/>
          </w:tcPr>
          <w:p>
            <w:pPr>
              <w:jc w:val="center"/>
              <w:ind w:right="50"/>
              <w:spacing w:after="0"/>
              <w:rPr>
                <w:sz w:val="20"/>
                <w:szCs w:val="20"/>
                <w:color w:val="auto"/>
              </w:rPr>
            </w:pPr>
            <w:r>
              <w:rPr>
                <w:rFonts w:ascii="Arial" w:cs="Arial" w:eastAsia="Arial" w:hAnsi="Arial"/>
                <w:sz w:val="18"/>
                <w:szCs w:val="18"/>
                <w:color w:val="auto"/>
                <w:w w:val="91"/>
              </w:rPr>
              <w:t>Capital Expenditures</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 $105 million</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2018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fiscal 2018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2018 outlook. The Company uses these forward looking metrics internally to assess and benchmark its results and strategic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conference call to discuss the fourth quarter 2017 financial results is scheduled for today, March 8, 2018, at 11:00 a.m. Eastern Time. The U.S. toll free dial-in for the conference call is 866-754-6931 and the international dial-in is 636-812-6625. The conference passcode is 1679439. A live audio webcast of the conference call will be available on the “Investor” section of the Company’s website www.nationalvision.com/investors, where presentation materials will be posted prior to the conference call.</w:t>
      </w:r>
    </w:p>
    <w:p>
      <w:pPr>
        <w:sectPr>
          <w:pgSz w:w="11900" w:h="16838" w:orient="portrait"/>
          <w:cols w:equalWidth="0" w:num="1">
            <w:col w:w="11420"/>
          </w:cols>
          <w:pgMar w:left="240" w:top="611"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Thursday, March 15, 2018, by dialing 855-859-2056 from the U.S. or 404-537-3406 from international locations, and entering conference passcode 1679439. A replay of the audio webcast will also be archived on the “Investors” section of the Company’s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is one of the largest optical retail companies in the United States with over 1,000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Fred Meyer stores and on select military bases, offering a variety of products and services for customers’ eye care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2018 Outlook” as well as other statements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maintain sufficient levels of cash flow from our operations to grow; our ability to recruit and retain vision care professionals for our stores; state, local and federal vision care and healthcare laws and regulations; our relationships with managed vision care companies, vision insurance providers and other third-party payors; our operating relationships with our host and legacy partners; the risk of loss or disruption in our distribution centers and optical laboratories; risks associated with vendors and suppliers from whom our products are sourced; competition in the optical retail industry; risks associated with information technology systems and the security of personal information and payment card data collected by us and our vendors; macroeconomic factors and other factors impacting consumer spending beyond the Company’s control;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product liability, product recall or personal injury issues; risks associated with managed vision care laws and regulations; our increasing reliance on third-party coverage and reimbursement; issues regarding inventory management; risks related to our e-commerce business; seasonal fluctuations in our business; technological advances that may reduce demand for our products; we may incur losses arising from our investments in technological innovators in the optical retail industry; legal regulatory risks, including adverse judgments or settlements from legal proceedings; our ability to protect our intellectual property; the impact our leverage has on our ability to raise additional capital to fund our operations; our credit agreement contains restrictions that limit our flexibility in operating our business; risks related to our debt agreements; our ability to comply with requirements to design and implement and maintain effective internal controls; and risks related to being a controlled company.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which are accessible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and “Adjusted Net Income.” We believe EBITDA, Adjusted EBITDA, Adjusted EBITDA Margin and Adjusted Net Income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ectPr>
          <w:pgSz w:w="11900" w:h="16838" w:orient="portrait"/>
          <w:cols w:equalWidth="0" w:num="1">
            <w:col w:w="11420"/>
          </w:cols>
          <w:pgMar w:left="240" w:top="800" w:right="2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costs associated with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asset impairment, non-cash inventory write-offs, management fees, new store pre-opening expenses, non-cash rent, litigation settlement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divided by net 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Adjusted Net Income: </w:t>
      </w:r>
      <w:r>
        <w:rPr>
          <w:rFonts w:ascii="Arial" w:cs="Arial" w:eastAsia="Arial" w:hAnsi="Arial"/>
          <w:sz w:val="17"/>
          <w:szCs w:val="17"/>
          <w:color w:val="auto"/>
        </w:rPr>
        <w:t>We define Adjusted Net Income as net income, plus stock compensation expense, costs associated with debt refinancing,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non-cash inventory write-offs, management fees, new store pre-opening expenses, non-cash rent, litigation settlement, amortization of acquisition intangibles and deferred financing costs and other expenses, tax legislation adjustment, less the tax effect of these adjustments.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 recorded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Adjusted EBITDA, Adjusted EBITDA Margin, Adjusted Net Income and Adjusted Comparable Store Sales Growth are not recognized terms under GAAP and should not be considered as an alternative to net income (loss) or the ratio of net income (loss)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8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color w:val="auto"/>
                <w:w w:val="98"/>
              </w:rPr>
              <w:t>As of</w:t>
            </w:r>
          </w:p>
        </w:tc>
        <w:tc>
          <w:tcPr>
            <w:tcW w:w="240" w:type="dxa"/>
            <w:vAlign w:val="bottom"/>
          </w:tcPr>
          <w:p>
            <w:pPr>
              <w:spacing w:after="0"/>
              <w:rPr>
                <w:sz w:val="17"/>
                <w:szCs w:val="17"/>
                <w:color w:val="auto"/>
              </w:rPr>
            </w:pPr>
          </w:p>
        </w:tc>
        <w:tc>
          <w:tcPr>
            <w:tcW w:w="1800" w:type="dxa"/>
            <w:vAlign w:val="bottom"/>
          </w:tcPr>
          <w:p>
            <w:pPr>
              <w:jc w:val="right"/>
              <w:ind w:right="759"/>
              <w:spacing w:after="0"/>
              <w:rPr>
                <w:sz w:val="20"/>
                <w:szCs w:val="20"/>
                <w:color w:val="auto"/>
              </w:rPr>
            </w:pPr>
            <w:r>
              <w:rPr>
                <w:rFonts w:ascii="Arial" w:cs="Arial" w:eastAsia="Arial" w:hAnsi="Arial"/>
                <w:sz w:val="16"/>
                <w:szCs w:val="16"/>
                <w:color w:val="auto"/>
              </w:rPr>
              <w:t>As of</w:t>
            </w:r>
          </w:p>
        </w:tc>
        <w:tc>
          <w:tcPr>
            <w:tcW w:w="0" w:type="dxa"/>
            <w:vAlign w:val="bottom"/>
          </w:tcPr>
          <w:p>
            <w:pPr>
              <w:spacing w:after="0"/>
              <w:rPr>
                <w:sz w:val="1"/>
                <w:szCs w:val="1"/>
                <w:color w:val="auto"/>
              </w:rPr>
            </w:pPr>
          </w:p>
        </w:tc>
      </w:tr>
      <w:tr>
        <w:trPr>
          <w:trHeight w:val="118"/>
        </w:trPr>
        <w:tc>
          <w:tcPr>
            <w:tcW w:w="72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gridSpan w:val="2"/>
            <w:vMerge w:val="restart"/>
          </w:tcPr>
          <w:p>
            <w:pPr>
              <w:jc w:val="center"/>
              <w:ind w:right="360"/>
              <w:spacing w:after="0"/>
              <w:rPr>
                <w:sz w:val="20"/>
                <w:szCs w:val="20"/>
                <w:color w:val="auto"/>
              </w:rPr>
            </w:pPr>
            <w:r>
              <w:rPr>
                <w:rFonts w:ascii="Arial" w:cs="Arial" w:eastAsia="Arial" w:hAnsi="Arial"/>
                <w:sz w:val="16"/>
                <w:szCs w:val="16"/>
                <w:color w:val="auto"/>
                <w:w w:val="91"/>
              </w:rPr>
              <w:t>December 30, 2017</w:t>
            </w:r>
          </w:p>
        </w:tc>
        <w:tc>
          <w:tcPr>
            <w:tcW w:w="240" w:type="dxa"/>
            <w:vAlign w:val="bottom"/>
          </w:tcPr>
          <w:p>
            <w:pPr>
              <w:spacing w:after="0"/>
              <w:rPr>
                <w:sz w:val="10"/>
                <w:szCs w:val="10"/>
                <w:color w:val="auto"/>
              </w:rPr>
            </w:pPr>
          </w:p>
        </w:tc>
        <w:tc>
          <w:tcPr>
            <w:tcW w:w="1800" w:type="dxa"/>
            <w:vAlign w:val="bottom"/>
            <w:vMerge w:val="restart"/>
          </w:tcPr>
          <w:p>
            <w:pPr>
              <w:jc w:val="right"/>
              <w:ind w:right="299"/>
              <w:spacing w:after="0"/>
              <w:rPr>
                <w:sz w:val="20"/>
                <w:szCs w:val="20"/>
                <w:color w:val="auto"/>
              </w:rPr>
            </w:pPr>
            <w:r>
              <w:rPr>
                <w:rFonts w:ascii="Arial" w:cs="Arial" w:eastAsia="Arial" w:hAnsi="Arial"/>
                <w:sz w:val="16"/>
                <w:szCs w:val="16"/>
                <w:color w:val="auto"/>
                <w:w w:val="99"/>
              </w:rPr>
              <w:t>December 31, 2016</w:t>
            </w:r>
          </w:p>
        </w:tc>
        <w:tc>
          <w:tcPr>
            <w:tcW w:w="0" w:type="dxa"/>
            <w:vAlign w:val="bottom"/>
          </w:tcPr>
          <w:p>
            <w:pPr>
              <w:spacing w:after="0"/>
              <w:rPr>
                <w:sz w:val="1"/>
                <w:szCs w:val="1"/>
                <w:color w:val="auto"/>
              </w:rPr>
            </w:pPr>
          </w:p>
        </w:tc>
      </w:tr>
      <w:tr>
        <w:trPr>
          <w:trHeight w:val="89"/>
        </w:trPr>
        <w:tc>
          <w:tcPr>
            <w:tcW w:w="7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4,208</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91,151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87,064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20,880</w:t>
            </w:r>
          </w:p>
        </w:tc>
        <w:tc>
          <w:tcPr>
            <w:tcW w:w="0" w:type="dxa"/>
            <w:vAlign w:val="bottom"/>
          </w:tcPr>
          <w:p>
            <w:pPr>
              <w:spacing w:after="0"/>
              <w:rPr>
                <w:sz w:val="1"/>
                <w:szCs w:val="1"/>
                <w:color w:val="auto"/>
              </w:rPr>
            </w:pPr>
          </w:p>
        </w:tc>
      </w:tr>
      <w:tr>
        <w:trPr>
          <w:trHeight w:val="223"/>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162,477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147,259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304,132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256,414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792,744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793,229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240,547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72,903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81,338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12,330</w:t>
            </w:r>
          </w:p>
        </w:tc>
        <w:tc>
          <w:tcPr>
            <w:tcW w:w="0" w:type="dxa"/>
            <w:vAlign w:val="bottom"/>
          </w:tcPr>
          <w:p>
            <w:pPr>
              <w:spacing w:after="0"/>
              <w:rPr>
                <w:sz w:val="1"/>
                <w:szCs w:val="1"/>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1,421,314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1,383,858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1,531,117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35,708</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39,400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69,402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27,739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25,600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57,996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211,309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199,683</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738,340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29,432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46,044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50,497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111,278</w:t>
            </w:r>
          </w:p>
        </w:tc>
        <w:tc>
          <w:tcPr>
            <w:tcW w:w="0" w:type="dxa"/>
            <w:vAlign w:val="bottom"/>
          </w:tcPr>
          <w:p>
            <w:pPr>
              <w:spacing w:after="0"/>
              <w:rPr>
                <w:sz w:val="1"/>
                <w:szCs w:val="1"/>
                <w:color w:val="auto"/>
              </w:rPr>
            </w:pPr>
          </w:p>
        </w:tc>
      </w:tr>
      <w:tr>
        <w:trPr>
          <w:trHeight w:val="223"/>
        </w:trPr>
        <w:tc>
          <w:tcPr>
            <w:tcW w:w="7200" w:type="dxa"/>
            <w:vAlign w:val="bottom"/>
          </w:tcPr>
          <w:p>
            <w:pPr>
              <w:ind w:left="500"/>
              <w:spacing w:after="0"/>
              <w:rPr>
                <w:sz w:val="20"/>
                <w:szCs w:val="20"/>
                <w:color w:val="auto"/>
              </w:rPr>
            </w:pPr>
            <w:r>
              <w:rPr>
                <w:rFonts w:ascii="Arial" w:cs="Arial" w:eastAsia="Arial" w:hAnsi="Arial"/>
                <w:sz w:val="18"/>
                <w:szCs w:val="18"/>
                <w:color w:val="auto"/>
              </w:rPr>
              <w:t>Total other non-current liabilities</w:t>
            </w: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150,914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191,207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200,000 shares authorized; 74,654 and 56,202 shares issued</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 as of December 30, 2017 and December 31, 2016,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631,798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424,789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37,145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28 shares as of December 30, 2017 and December 31, 2016</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23"/>
        </w:trPr>
        <w:tc>
          <w:tcPr>
            <w:tcW w:w="720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659,588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401,887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1,531,117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Operations and Comprehensive Income (Loss) For the Three Months and Years Ended December 30, 2017 and December 31, 2016 </w:t>
      </w:r>
      <w:r>
        <w:rPr>
          <w:rFonts w:ascii="Arial" w:cs="Arial" w:eastAsia="Arial" w:hAnsi="Arial"/>
          <w:sz w:val="18"/>
          <w:szCs w:val="18"/>
          <w:i w:val="1"/>
          <w:iCs w:val="1"/>
          <w:color w:val="auto"/>
        </w:rPr>
        <w:t>In Thousands, Except Earnings Per Share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30,</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5"/>
              </w:rPr>
              <w:t>Fiscal Year</w:t>
            </w:r>
          </w:p>
        </w:tc>
      </w:tr>
      <w:tr>
        <w:trPr>
          <w:trHeight w:val="230"/>
        </w:trPr>
        <w:tc>
          <w:tcPr>
            <w:tcW w:w="5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262,121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224,166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1,129,313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980,953</w:t>
            </w:r>
          </w:p>
        </w:tc>
      </w:tr>
      <w:tr>
        <w:trPr>
          <w:trHeight w:val="27"/>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215,242</w:t>
            </w: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321,819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277,114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1,375,308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4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106,979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90,949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456,078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390,369</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154,412</w:t>
            </w: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152,393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130,328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636,966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544,781</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128,853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597,924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524,238</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51,993</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7,132</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1,667</w:t>
            </w:r>
          </w:p>
        </w:tc>
      </w:tr>
      <w:tr>
        <w:trPr>
          <w:trHeight w:val="27"/>
        </w:trPr>
        <w:tc>
          <w:tcPr>
            <w:tcW w:w="5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585,030</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(Loss) earnings from operations</w:t>
            </w: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67,236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66,384</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39,092</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12,534</w:t>
            </w:r>
          </w:p>
        </w:tc>
      </w:tr>
      <w:tr>
        <w:trPr>
          <w:trHeight w:val="27"/>
        </w:trPr>
        <w:tc>
          <w:tcPr>
            <w:tcW w:w="5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r>
      <w:tr>
        <w:trPr>
          <w:trHeight w:val="20"/>
        </w:trPr>
        <w:tc>
          <w:tcPr>
            <w:tcW w:w="5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5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0.26</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56,185</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56,210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62,035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57,001</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14,758</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Change in unrealized gain (loss) on hedge instruments</w:t>
            </w: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 (provision) benefit of change in unrealized gain (loss) on hedge</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instruments</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32,035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50,508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11,486</w:t>
            </w:r>
          </w:p>
        </w:tc>
      </w:tr>
      <w:tr>
        <w:trPr>
          <w:trHeight w:val="20"/>
        </w:trPr>
        <w:tc>
          <w:tcPr>
            <w:tcW w:w="5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30, 2017, December 31, 2016, and January 2,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Fiscal Year</w:t>
            </w:r>
          </w:p>
        </w:tc>
        <w:tc>
          <w:tcPr>
            <w:tcW w:w="24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Fiscal Year</w:t>
            </w:r>
          </w:p>
        </w:tc>
        <w:tc>
          <w:tcPr>
            <w:tcW w:w="24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w w:val="97"/>
              </w:rPr>
              <w:t>Fiscal Year</w:t>
            </w:r>
          </w:p>
        </w:tc>
      </w:tr>
      <w:tr>
        <w:trPr>
          <w:trHeight w:val="230"/>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3,617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of property and equipment</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34,859</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loan costs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3,816</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income tax (benefit) expense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1,528</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option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inventory adjustments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2,056</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(10,664)</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15,784</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(2,850)</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(80,051)</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174,924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148,185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1,762</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to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6,832</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year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5,595</w:t>
            </w:r>
          </w:p>
        </w:tc>
      </w:tr>
      <w:tr>
        <w:trPr>
          <w:trHeight w:val="257"/>
        </w:trPr>
        <w:tc>
          <w:tcPr>
            <w:tcW w:w="6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 ($000’s):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(received) for taxes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accrued at the end of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Fixed assets acquired under capital lease obligations</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1,073</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issuance of common shares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repurchase of common shares</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ind w:left="260" w:right="2260"/>
        <w:spacing w:after="0" w:line="250" w:lineRule="auto"/>
        <w:rPr>
          <w:sz w:val="20"/>
          <w:szCs w:val="20"/>
          <w:color w:val="auto"/>
        </w:rPr>
      </w:pPr>
      <w:r>
        <w:rPr>
          <w:rFonts w:ascii="Arial" w:cs="Arial" w:eastAsia="Arial" w:hAnsi="Arial"/>
          <w:sz w:val="18"/>
          <w:szCs w:val="18"/>
          <w:b w:val="1"/>
          <w:bCs w:val="1"/>
          <w:color w:val="auto"/>
        </w:rPr>
        <w:t xml:space="preserve">Reconciliation of Net Income to EBITDA, Adjusted EBITDA, and Adjusted Net Income For the Three Months and Fiscal Years Ended December 30, 2017 and December 31, 2016 </w:t>
      </w: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Fiscal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4"/>
          </w:tcPr>
          <w:p>
            <w:pPr>
              <w:jc w:val="center"/>
              <w:ind w:right="240"/>
              <w:spacing w:after="0"/>
              <w:rPr>
                <w:sz w:val="20"/>
                <w:szCs w:val="20"/>
                <w:color w:val="auto"/>
              </w:rPr>
            </w:pPr>
            <w:r>
              <w:rPr>
                <w:rFonts w:ascii="Arial" w:cs="Arial" w:eastAsia="Arial" w:hAnsi="Arial"/>
                <w:sz w:val="17"/>
                <w:szCs w:val="17"/>
                <w:color w:val="auto"/>
                <w:w w:val="91"/>
              </w:rPr>
              <w:t>Fiscal Year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30, 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December 31, 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550"/>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2016</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28,700</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45,820</w:t>
            </w: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14,758</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14,571</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9,715</w:t>
            </w:r>
          </w:p>
        </w:tc>
        <w:tc>
          <w:tcPr>
            <w:tcW w:w="620" w:type="dxa"/>
            <w:vAlign w:val="bottom"/>
          </w:tcPr>
          <w:p>
            <w:pPr>
              <w:jc w:val="center"/>
              <w:ind w:left="70"/>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55,536</w:t>
            </w:r>
          </w:p>
        </w:tc>
        <w:tc>
          <w:tcPr>
            <w:tcW w:w="720" w:type="dxa"/>
            <w:vAlign w:val="bottom"/>
          </w:tcPr>
          <w:p>
            <w:pPr>
              <w:ind w:left="2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39,092</w:t>
            </w:r>
          </w:p>
        </w:tc>
        <w:tc>
          <w:tcPr>
            <w:tcW w:w="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(47,914)</w:t>
            </w:r>
          </w:p>
        </w:tc>
        <w:tc>
          <w:tcPr>
            <w:tcW w:w="8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(14.9)%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12,534</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16,711</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13,756</w:t>
            </w:r>
          </w:p>
        </w:tc>
        <w:tc>
          <w:tcPr>
            <w:tcW w:w="620" w:type="dxa"/>
            <w:vAlign w:val="bottom"/>
          </w:tcPr>
          <w:p>
            <w:pPr>
              <w:jc w:val="center"/>
              <w:ind w:left="70"/>
              <w:spacing w:after="0"/>
              <w:rPr>
                <w:sz w:val="20"/>
                <w:szCs w:val="20"/>
                <w:color w:val="auto"/>
              </w:rPr>
            </w:pPr>
            <w:r>
              <w:rPr>
                <w:rFonts w:ascii="Arial" w:cs="Arial" w:eastAsia="Arial" w:hAnsi="Arial"/>
                <w:sz w:val="18"/>
                <w:szCs w:val="18"/>
                <w:color w:val="auto"/>
                <w:w w:val="92"/>
              </w:rPr>
              <w:t>5.0%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61,115</w:t>
            </w:r>
          </w:p>
        </w:tc>
        <w:tc>
          <w:tcPr>
            <w:tcW w:w="720" w:type="dxa"/>
            <w:vAlign w:val="bottom"/>
          </w:tcPr>
          <w:p>
            <w:pPr>
              <w:ind w:left="2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51,993</w:t>
            </w:r>
          </w:p>
        </w:tc>
        <w:tc>
          <w:tcPr>
            <w:tcW w:w="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12,068</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10,403</w:t>
            </w:r>
          </w:p>
        </w:tc>
        <w:tc>
          <w:tcPr>
            <w:tcW w:w="6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123,824</w:t>
            </w: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118,377</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5,152</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4,293</w:t>
            </w: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4,527</w:t>
            </w:r>
          </w:p>
        </w:tc>
        <w:tc>
          <w:tcPr>
            <w:tcW w:w="720" w:type="dxa"/>
            <w:vAlign w:val="bottom"/>
          </w:tcPr>
          <w:p>
            <w:pPr>
              <w:ind w:left="2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3,117</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7,080</w:t>
            </w:r>
          </w:p>
        </w:tc>
        <w:tc>
          <w:tcPr>
            <w:tcW w:w="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2.6%</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4,117</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7,132</w:t>
            </w: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720" w:type="dxa"/>
            <w:vAlign w:val="bottom"/>
          </w:tcPr>
          <w:p>
            <w:pPr>
              <w:ind w:left="2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4,418</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5,263</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1,126</w:t>
            </w: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620" w:type="dxa"/>
            <w:vAlign w:val="bottom"/>
          </w:tcPr>
          <w:p>
            <w:pPr>
              <w:jc w:val="center"/>
              <w:ind w:left="70"/>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2,531</w:t>
            </w:r>
          </w:p>
        </w:tc>
        <w:tc>
          <w:tcPr>
            <w:tcW w:w="720" w:type="dxa"/>
            <w:vAlign w:val="bottom"/>
          </w:tcPr>
          <w:p>
            <w:pPr>
              <w:ind w:left="2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1,343</w:t>
            </w: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720" w:type="dxa"/>
            <w:vAlign w:val="bottom"/>
          </w:tcPr>
          <w:p>
            <w:pPr>
              <w:ind w:left="2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3,924</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3,520</w:t>
            </w: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30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Adjusted EBITDA/ Adjusted EBITDA</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25,035</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20,971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159,721</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137,774</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Margin</w:t>
            </w:r>
          </w:p>
        </w:tc>
        <w:tc>
          <w:tcPr>
            <w:tcW w:w="2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20" w:type="dxa"/>
            <w:vAlign w:val="bottom"/>
          </w:tcPr>
          <w:p>
            <w:pPr>
              <w:jc w:val="center"/>
              <w:ind w:left="70"/>
              <w:spacing w:after="0"/>
              <w:rPr>
                <w:sz w:val="20"/>
                <w:szCs w:val="20"/>
                <w:color w:val="auto"/>
              </w:rPr>
            </w:pPr>
            <w:r>
              <w:rPr>
                <w:rFonts w:ascii="Arial" w:cs="Arial" w:eastAsia="Arial" w:hAnsi="Arial"/>
                <w:sz w:val="18"/>
                <w:szCs w:val="18"/>
                <w:color w:val="auto"/>
                <w:w w:val="92"/>
              </w:rPr>
              <w:t>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00" w:type="dxa"/>
            <w:vAlign w:val="bottom"/>
            <w:gridSpan w:val="4"/>
          </w:tcPr>
          <w:p>
            <w:pPr>
              <w:spacing w:after="0"/>
              <w:rPr>
                <w:sz w:val="20"/>
                <w:szCs w:val="20"/>
                <w:color w:val="auto"/>
              </w:rPr>
            </w:pPr>
            <w:r>
              <w:rPr>
                <w:rFonts w:ascii="Arial" w:cs="Arial" w:eastAsia="Arial" w:hAnsi="Arial"/>
                <w:sz w:val="14"/>
                <w:szCs w:val="14"/>
                <w:color w:val="auto"/>
              </w:rPr>
              <w:t>Note: Percentages reflect line item as a percentage of net revenue</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9"/>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4"/>
          </w:tcPr>
          <w:p>
            <w:pPr>
              <w:ind w:left="4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180"/>
              <w:spacing w:after="0"/>
              <w:rPr>
                <w:sz w:val="20"/>
                <w:szCs w:val="20"/>
                <w:color w:val="auto"/>
              </w:rPr>
            </w:pPr>
            <w:r>
              <w:rPr>
                <w:rFonts w:ascii="Arial" w:cs="Arial" w:eastAsia="Arial" w:hAnsi="Arial"/>
                <w:sz w:val="17"/>
                <w:szCs w:val="17"/>
                <w:color w:val="auto"/>
              </w:rPr>
              <w:t>Fiscal Year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ind w:left="220"/>
              <w:spacing w:after="0"/>
              <w:rPr>
                <w:sz w:val="20"/>
                <w:szCs w:val="20"/>
                <w:color w:val="auto"/>
              </w:rPr>
            </w:pPr>
            <w:r>
              <w:rPr>
                <w:rFonts w:ascii="Arial" w:cs="Arial" w:eastAsia="Arial" w:hAnsi="Arial"/>
                <w:sz w:val="17"/>
                <w:szCs w:val="17"/>
                <w:color w:val="auto"/>
              </w:rPr>
              <w:t>Fiscal Year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December 30, 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4"/>
          </w:tcPr>
          <w:p>
            <w:pPr>
              <w:ind w:left="80"/>
              <w:spacing w:after="0"/>
              <w:rPr>
                <w:sz w:val="20"/>
                <w:szCs w:val="20"/>
                <w:color w:val="auto"/>
              </w:rPr>
            </w:pPr>
            <w:r>
              <w:rPr>
                <w:rFonts w:ascii="Arial" w:cs="Arial" w:eastAsia="Arial" w:hAnsi="Arial"/>
                <w:sz w:val="18"/>
                <w:szCs w:val="18"/>
                <w:color w:val="auto"/>
              </w:rPr>
              <w:t>December 31, 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2017</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2016</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4,293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7,132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5,263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1,126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1,343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3,520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Amortization of acquisition intangibles and</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14,481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8"/>
              </w:rPr>
              <w:t>11,311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300" w:type="dxa"/>
            <w:vAlign w:val="bottom"/>
            <w:vMerge w:val="restart"/>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(j)</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legislation adjustment </w:t>
            </w:r>
            <w:r>
              <w:rPr>
                <w:rFonts w:ascii="Arial" w:cs="Arial" w:eastAsia="Arial" w:hAnsi="Arial"/>
                <w:sz w:val="25"/>
                <w:szCs w:val="25"/>
                <w:color w:val="auto"/>
                <w:vertAlign w:val="superscript"/>
              </w:rPr>
              <w:t>(k)</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(42,965)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(42,965)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(l)</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(5,352)</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(20,152)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Adjusted 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(1,682)</w:t>
            </w:r>
          </w:p>
        </w:tc>
        <w:tc>
          <w:tcPr>
            <w:tcW w:w="10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33,081</w:t>
            </w:r>
          </w:p>
        </w:tc>
        <w:tc>
          <w:tcPr>
            <w:tcW w:w="80" w:type="dxa"/>
            <w:vAlign w:val="bottom"/>
          </w:tcPr>
          <w:p>
            <w:pPr>
              <w:spacing w:after="0"/>
              <w:rPr>
                <w:sz w:val="20"/>
                <w:szCs w:val="20"/>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33,183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$1.8 million of fees associated with the refinancing of our first line credit agreement during the fourth quarter of fiscal year 2017 and $2.7 million of fees associated with the borrowing of $175.0 million in additional principal under our first lien credit agreement during the first quarter of fiscal year 2017.</w:t>
      </w:r>
    </w:p>
    <w:p>
      <w:pPr>
        <w:sectPr>
          <w:pgSz w:w="11900" w:h="16838" w:orient="portrait"/>
          <w:cols w:equalWidth="0" w:num="1">
            <w:col w:w="11420"/>
          </w:cols>
          <w:pgMar w:left="240" w:top="580" w:right="239" w:bottom="1440" w:gutter="0" w:footer="0" w:header="0"/>
        </w:sectPr>
      </w:pPr>
    </w:p>
    <w:bookmarkStart w:id="13" w:name="page14"/>
    <w:bookmarkEnd w:id="13"/>
    <w:p>
      <w:pPr>
        <w:jc w:val="both"/>
        <w:ind w:left="332" w:hanging="332"/>
        <w:spacing w:after="0" w:line="247"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write-downs of capitalized software and property and equipment for the three months ended December 30, 2017 and non-cash charges related to a complete write-off of a cost-based investment during fiscal year 2017. Non-cash charges related to impairment of long-lived assets, primarily goodwill in our wholly-owned Arlington Contact Lens Service, Inc. subsidiary during three months ended December 31, 2016 and fiscal year 2016.</w:t>
      </w:r>
    </w:p>
    <w:p>
      <w:pPr>
        <w:spacing w:after="0" w:line="1" w:lineRule="exact"/>
        <w:rPr>
          <w:rFonts w:ascii="Arial" w:cs="Arial" w:eastAsia="Arial" w:hAnsi="Arial"/>
          <w:sz w:val="14"/>
          <w:szCs w:val="14"/>
          <w:color w:val="auto"/>
        </w:rPr>
      </w:pPr>
    </w:p>
    <w:p>
      <w:pPr>
        <w:ind w:left="332" w:hanging="332"/>
        <w:spacing w:after="0"/>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ind w:left="332" w:right="2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Management fees paid to Sponsors in accordance with our monitoring agreement with them in fiscal year 2017 including management termination fees paid in connection with the IPO during three months ended December 30, 2017.</w:t>
      </w:r>
    </w:p>
    <w:p>
      <w:pPr>
        <w:jc w:val="both"/>
        <w:ind w:left="332"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1" w:lineRule="exact"/>
        <w:rPr>
          <w:rFonts w:ascii="Arial" w:cs="Arial" w:eastAsia="Arial" w:hAnsi="Arial"/>
          <w:sz w:val="14"/>
          <w:szCs w:val="14"/>
          <w:color w:val="auto"/>
        </w:rPr>
      </w:pPr>
    </w:p>
    <w:p>
      <w:pPr>
        <w:jc w:val="both"/>
        <w:ind w:left="332" w:hanging="332"/>
        <w:spacing w:after="0" w:line="260"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ind w:left="332" w:hanging="332"/>
        <w:spacing w:after="0"/>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w:t>
      </w:r>
    </w:p>
    <w:p>
      <w:pPr>
        <w:spacing w:after="0" w:line="1" w:lineRule="exact"/>
        <w:rPr>
          <w:rFonts w:ascii="Arial" w:cs="Arial" w:eastAsia="Arial" w:hAnsi="Arial"/>
          <w:sz w:val="14"/>
          <w:szCs w:val="14"/>
          <w:color w:val="auto"/>
        </w:rPr>
      </w:pPr>
    </w:p>
    <w:p>
      <w:pPr>
        <w:jc w:val="both"/>
        <w:ind w:left="332"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including our share of losses on equity method investments of $0.3 million, $0.4 million, $1.0 million and $1.4 million for the three months ended December 30, 2017 and December 31, 2016 and fiscal years 2017 and 2016, respectively; the amortization impact of adjustments related to the acquisition of the Company by affiliates of KKR in March 2014 (the "KKR Acquisition") (e.g., fair value of leasehold interests) of $(0.1) million, $(0.1) million, $(0.3) million and $(0.7) million for the three months ended December 30, 2017 and December 31, 2016 and fiscal years 2017 and 2016, respectively, related to prior acquisitions; expenses related to preparation for being an SEC registrant that were not directly attributable to the IPO and therefore not charged to equity of $1.1 million, $1.8 million and $2.0 million for the three months ended December 31, 2016 and fiscal years 2017 and 2016, respectively; differences between the timing of expense versus cash payments related to contributions to charitable organizations of $(0.3) million for three months ended December 30, 2017 and December 31, 2016, and $(1.0) million during fiscal years 2017 and 2016; costs of severance and relocation of $0.4 million, $0.2 million, $1.4 million, and $1.1 million for the three months ended December 30, 2017 and December 31, 2016 and fiscal years 2017 and 2016 respectively; non-cash write-down of property and equipment of $0.4 million, $0.2 million, $0.4 million and $0.2 million for for the three months ended December 30, 2017 and December 31, 2016 and fiscal years 2017 and 2016, respectively; and other expenses and adjustments totaling $0.1 million, $0.1 million, $0.6 million, and $0.6 million for the three months ended December 30, 2017 and December 31, 2016 and fiscal years 2017 and 2016, respectively.</w:t>
      </w:r>
    </w:p>
    <w:p>
      <w:pPr>
        <w:spacing w:after="0" w:line="4" w:lineRule="exact"/>
        <w:rPr>
          <w:rFonts w:ascii="Arial" w:cs="Arial" w:eastAsia="Arial" w:hAnsi="Arial"/>
          <w:sz w:val="14"/>
          <w:szCs w:val="14"/>
          <w:color w:val="auto"/>
        </w:rPr>
      </w:pPr>
    </w:p>
    <w:p>
      <w:pPr>
        <w:jc w:val="both"/>
        <w:ind w:left="332"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definite-lived intangible assets resulting from the application of purchase accounting to the KKR Acquisition of $1.9 million for the three months ended December 30, 2017 and December 31, 2016 and $7.4 million for fiscal years 2017 and 2016; and 2) Amortization of debt discounts associated with the March 2014 term loan borrowings in connection with the KKR Acquisition and, to a lesser extent, amortization of debt discounts associated with the May 2015 and February 2017 incremental first lien term loans and the November 2017 first lien term loan refinancing, aggregating to $4.0 million, $1.0 million, $7.1 million and $3.9 million for the three months ended December 30, 2017 and December 31, 2016, and fiscal years 2017 and 2016, respectively.</w:t>
      </w:r>
    </w:p>
    <w:p>
      <w:pPr>
        <w:spacing w:after="0" w:line="1" w:lineRule="exact"/>
        <w:rPr>
          <w:rFonts w:ascii="Arial" w:cs="Arial" w:eastAsia="Arial" w:hAnsi="Arial"/>
          <w:sz w:val="14"/>
          <w:szCs w:val="14"/>
          <w:color w:val="auto"/>
        </w:rPr>
      </w:pPr>
    </w:p>
    <w:p>
      <w:pPr>
        <w:ind w:left="332" w:hanging="332"/>
        <w:spacing w:after="0"/>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related to the Tax Act during fiscal year 2017.</w:t>
      </w:r>
    </w:p>
    <w:p>
      <w:pPr>
        <w:spacing w:after="0" w:line="1" w:lineRule="exact"/>
        <w:rPr>
          <w:rFonts w:ascii="Arial" w:cs="Arial" w:eastAsia="Arial" w:hAnsi="Arial"/>
          <w:sz w:val="14"/>
          <w:szCs w:val="14"/>
          <w:color w:val="auto"/>
        </w:rPr>
      </w:pPr>
    </w:p>
    <w:p>
      <w:pPr>
        <w:ind w:left="332" w:hanging="332"/>
        <w:spacing w:after="0"/>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Income tax effect of the total adjustments at our estimated effective tax rate.</w:t>
      </w:r>
    </w:p>
    <w:p>
      <w:pPr>
        <w:sectPr>
          <w:pgSz w:w="11900" w:h="16838" w:orient="portrait"/>
          <w:cols w:equalWidth="0" w:num="1">
            <w:col w:w="11412"/>
          </w:cols>
          <w:pgMar w:left="248" w:top="58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and Fiscal Years Ended December 30, 2017 and 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-18415</wp:posOffset>
            </wp:positionV>
            <wp:extent cx="4442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tbl>
      <w:tblPr>
        <w:tblLayout w:type="fixed"/>
        <w:tblInd w:w="4420" w:type="dxa"/>
        <w:tblCellMar>
          <w:top w:w="0" w:type="dxa"/>
          <w:left w:w="0" w:type="dxa"/>
          <w:bottom w:w="0" w:type="dxa"/>
          <w:right w:w="0" w:type="dxa"/>
        </w:tblCellMar>
      </w:tblPr>
      <w:tr>
        <w:trPr>
          <w:trHeight w:val="207"/>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Three Months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Three Months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30,</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Fiscal Year</w:t>
            </w:r>
          </w:p>
        </w:tc>
        <w:tc>
          <w:tcPr>
            <w:tcW w:w="14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Fiscal Year</w:t>
            </w:r>
          </w:p>
        </w:tc>
        <w:tc>
          <w:tcPr>
            <w:tcW w:w="1220" w:type="dxa"/>
            <w:vAlign w:val="bottom"/>
          </w:tcPr>
          <w:p>
            <w:pPr>
              <w:spacing w:after="0"/>
              <w:rPr>
                <w:sz w:val="18"/>
                <w:szCs w:val="18"/>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340" w:type="dxa"/>
            <w:vAlign w:val="bottom"/>
          </w:tcPr>
          <w:p>
            <w:pPr>
              <w:jc w:val="right"/>
              <w:ind w:right="415"/>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20"/>
                <w:szCs w:val="20"/>
                <w:color w:val="auto"/>
              </w:rPr>
            </w:pPr>
          </w:p>
        </w:tc>
        <w:tc>
          <w:tcPr>
            <w:tcW w:w="1340" w:type="dxa"/>
            <w:vAlign w:val="bottom"/>
          </w:tcPr>
          <w:p>
            <w:pPr>
              <w:jc w:val="right"/>
              <w:ind w:right="415"/>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2018 Outlook</w:t>
            </w: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Owned &amp; host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America’s Best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Eyeglass World</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Military</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Fred Meyer</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Legacy segment</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comparable store sales growth</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comparable store sales growth</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11.8%</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10.4 %</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10.1 %</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9.5 %</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73"/>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11.7%</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6.8 %</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6.5 %</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4.5 %</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(8.6)%</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(6.4)%</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1.6 %</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10.0%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0.6 %</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3"/>
        </w:trPr>
        <w:tc>
          <w:tcPr>
            <w:tcW w:w="940" w:type="dxa"/>
            <w:vAlign w:val="bottom"/>
          </w:tcPr>
          <w:p>
            <w:pPr>
              <w:jc w:val="right"/>
              <w:ind w:right="390"/>
              <w:spacing w:after="0"/>
              <w:rPr>
                <w:sz w:val="20"/>
                <w:szCs w:val="20"/>
                <w:color w:val="auto"/>
              </w:rPr>
            </w:pPr>
            <w:r>
              <w:rPr>
                <w:rFonts w:ascii="Arial" w:cs="Arial" w:eastAsia="Arial" w:hAnsi="Arial"/>
                <w:sz w:val="18"/>
                <w:szCs w:val="18"/>
                <w:color w:val="auto"/>
              </w:rPr>
              <w:t>5.5%</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1.0 %</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43"/>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11.5%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7.0 %</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8.4 %</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6.9 %</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- 5.5%</w:t>
            </w:r>
          </w:p>
        </w:tc>
      </w:tr>
      <w:tr>
        <w:trPr>
          <w:trHeight w:val="270"/>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10.4%</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7.0 %</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7.5 %</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6.1 %</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ind w:left="20"/>
              <w:spacing w:after="0"/>
              <w:rPr>
                <w:sz w:val="20"/>
                <w:szCs w:val="20"/>
                <w:color w:val="auto"/>
              </w:rPr>
            </w:pPr>
            <w:r>
              <w:rPr>
                <w:rFonts w:ascii="Arial" w:cs="Arial" w:eastAsia="Arial" w:hAnsi="Arial"/>
                <w:sz w:val="18"/>
                <w:szCs w:val="18"/>
                <w:color w:val="auto"/>
              </w:rPr>
              <w:t>- 5%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-1525905</wp:posOffset>
            </wp:positionV>
            <wp:extent cx="72466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-925830</wp:posOffset>
            </wp:positionV>
            <wp:extent cx="72466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-454025</wp:posOffset>
            </wp:positionV>
            <wp:extent cx="724662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4520" w:space="720"/>
            <w:col w:w="6180"/>
          </w:cols>
          <w:pgMar w:left="240" w:top="580" w:right="239" w:bottom="1440" w:gutter="0" w:footer="0" w:header="0"/>
          <w:type w:val="continuous"/>
        </w:sectPr>
      </w:pPr>
    </w:p>
    <w:p>
      <w:pPr>
        <w:jc w:val="both"/>
        <w:ind w:left="340" w:hanging="332"/>
        <w:spacing w:after="0" w:line="245"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comparable store sales calculated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Comparable store sales growth for America's Best, Eyeglass World, Military, and Fred Meyer is calculated based on cash basis revenues consistent with what the Chief Operating Decision Maker reviews, and consistent with reportable segment revenues presented in Note 14. "Segment Reporting" in our consolidated financial statements, with the exception of the legacy segment, which is adjusted as noted in (b) (ii) below.</w:t>
      </w:r>
    </w:p>
    <w:p>
      <w:pPr>
        <w:jc w:val="both"/>
        <w:ind w:left="340" w:hanging="332"/>
        <w:spacing w:after="0" w:line="264"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1.0% and an increase of 0.3% from total comparable store sales growth based on consolidated net revenue for the three months ended December 30, 2017 and December 31, 2016, respectively, and a decrease of 0.7% and 0.4% from total comparable store sales growth based on consolidated net revenue for fiscal year 2017 and fiscal year 2016, respectively, (ii) adjusted comparable store sales growth includes retail sales to the legacy partner’s customers (rather than the revenues recognized consistent with the management and services agreement), resulting in a decrease of 0.1% and 0.2% from total comparable store sales growth based on consolidated net revenue for the three months ended December 30, 2017 and December 31, 2016, respectively, and a decrease of 0.2% and 0.4% from total comparable store sales growth based on consolidated net revenue for fiscal year 2017 and fiscal year 2016, respectively, and (iii) with respect to the Company's 2018 Outlook, adjusted comparable store sales growth includes an estimated 0.5% impact for the effect of deferred and unearned income as if such revenues were earned at the point of sale and retail sales to the legacy partner's customers (rather than the revenues recognized consistent with the management and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Mann, CFA, Vice President of Investor Relations</w:t>
      </w:r>
    </w:p>
    <w:p>
      <w:pPr>
        <w:spacing w:after="0" w:line="9" w:lineRule="exact"/>
        <w:rPr>
          <w:sz w:val="20"/>
          <w:szCs w:val="20"/>
          <w:color w:val="auto"/>
        </w:rPr>
      </w:pPr>
    </w:p>
    <w:p>
      <w:pPr>
        <w:ind w:right="8640"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8860"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448-2355 Kristina.gross@nationalvision.com</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470"/>
    </w:lvl>
  </w:abstractNum>
  <w:abstractNum w:abstractNumId="13">
    <w:nsid w:val="DED7263"/>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2019-12-29T00:05:03Z</dcterms:created>
  <dcterms:modified xsi:type="dcterms:W3CDTF">2019-12-29T00:05:03Z</dcterms:modified>
</cp:coreProperties>
</file>