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5"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w:t>
      </w:r>
    </w:p>
    <w:p>
      <w:pPr>
        <w:spacing w:after="0" w:line="263"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259"/>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240" w:top="522" w:right="479" w:bottom="1440" w:gutter="0" w:footer="0" w:header="0"/>
        </w:sectPr>
      </w:pP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6"/>
          <w:szCs w:val="16"/>
          <w:color w:val="auto"/>
        </w:rPr>
        <w:t>Filed by the Registrant</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47" w:lineRule="exact"/>
        <w:rPr>
          <w:sz w:val="24"/>
          <w:szCs w:val="24"/>
          <w:color w:val="auto"/>
        </w:rPr>
      </w:pPr>
    </w:p>
    <w:p>
      <w:pPr>
        <w:sectPr>
          <w:pgSz w:w="11900" w:h="16838" w:orient="portrait"/>
          <w:cols w:equalWidth="0" w:num="4">
            <w:col w:w="1660" w:space="60"/>
            <w:col w:w="160" w:space="580"/>
            <w:col w:w="2180" w:space="680"/>
            <w:col w:w="5860"/>
          </w:cols>
          <w:pgMar w:left="240" w:top="522" w:right="479" w:bottom="1440" w:gutter="0" w:footer="0" w:header="0"/>
          <w:type w:val="continuous"/>
        </w:sect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260" w:hanging="193"/>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42" w:lineRule="exact"/>
        <w:rPr>
          <w:rFonts w:ascii="MS PGothic" w:cs="MS PGothic" w:eastAsia="MS PGothic" w:hAnsi="MS PGothic"/>
          <w:sz w:val="18"/>
          <w:szCs w:val="18"/>
          <w:color w:val="auto"/>
        </w:rPr>
      </w:pPr>
    </w:p>
    <w:p>
      <w:pPr>
        <w:ind w:left="260" w:hanging="193"/>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36" w:lineRule="exact"/>
        <w:rPr>
          <w:rFonts w:ascii="MS PGothic" w:cs="MS PGothic" w:eastAsia="MS PGothic" w:hAnsi="MS PGothic"/>
          <w:sz w:val="18"/>
          <w:szCs w:val="18"/>
          <w:color w:val="auto"/>
        </w:rPr>
      </w:pPr>
    </w:p>
    <w:p>
      <w:pPr>
        <w:ind w:left="260" w:hanging="193"/>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36" w:lineRule="exact"/>
        <w:rPr>
          <w:sz w:val="24"/>
          <w:szCs w:val="24"/>
          <w:color w:val="auto"/>
        </w:rPr>
      </w:pPr>
    </w:p>
    <w:p>
      <w:pPr>
        <w:ind w:left="260" w:hanging="193"/>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36" w:lineRule="exact"/>
        <w:rPr>
          <w:sz w:val="24"/>
          <w:szCs w:val="24"/>
          <w:color w:val="auto"/>
        </w:rPr>
      </w:pPr>
    </w:p>
    <w:p>
      <w:pPr>
        <w:ind w:left="260" w:hanging="193"/>
        <w:spacing w:after="0"/>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29"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NATIONAL VISION HOLDINGS, INC.</w:t>
      </w:r>
    </w:p>
    <w:p>
      <w:pPr>
        <w:spacing w:after="0" w:line="5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4"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36" w:lineRule="exact"/>
        <w:rPr>
          <w:sz w:val="24"/>
          <w:szCs w:val="24"/>
          <w:color w:val="auto"/>
        </w:rPr>
      </w:pPr>
    </w:p>
    <w:p>
      <w:pPr>
        <w:ind w:left="260" w:hanging="193"/>
        <w:spacing w:after="0"/>
        <w:tabs>
          <w:tab w:leader="none" w:pos="2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43" w:lineRule="exact"/>
        <w:rPr>
          <w:sz w:val="24"/>
          <w:szCs w:val="24"/>
          <w:color w:val="auto"/>
        </w:rPr>
      </w:pPr>
    </w:p>
    <w:p>
      <w:pPr>
        <w:ind w:left="260" w:hanging="193"/>
        <w:spacing w:after="0"/>
        <w:tabs>
          <w:tab w:leader="none" w:pos="2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36" w:lineRule="exact"/>
        <w:rPr>
          <w:rFonts w:ascii="MS PGothic" w:cs="MS PGothic" w:eastAsia="MS PGothic" w:hAnsi="MS PGothic"/>
          <w:sz w:val="18"/>
          <w:szCs w:val="18"/>
          <w:color w:val="auto"/>
        </w:rPr>
      </w:pPr>
    </w:p>
    <w:p>
      <w:pPr>
        <w:ind w:left="500" w:hanging="235"/>
        <w:spacing w:after="0"/>
        <w:tabs>
          <w:tab w:leader="none" w:pos="5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98" w:lineRule="exact"/>
        <w:rPr>
          <w:rFonts w:ascii="Arial" w:cs="Arial" w:eastAsia="Arial" w:hAnsi="Arial"/>
          <w:sz w:val="18"/>
          <w:szCs w:val="18"/>
          <w:color w:val="auto"/>
        </w:rPr>
      </w:pPr>
    </w:p>
    <w:p>
      <w:pPr>
        <w:ind w:left="500" w:hanging="235"/>
        <w:spacing w:after="0"/>
        <w:tabs>
          <w:tab w:leader="none" w:pos="5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06" w:lineRule="exact"/>
        <w:rPr>
          <w:rFonts w:ascii="Arial" w:cs="Arial" w:eastAsia="Arial" w:hAnsi="Arial"/>
          <w:sz w:val="18"/>
          <w:szCs w:val="18"/>
          <w:color w:val="auto"/>
        </w:rPr>
      </w:pPr>
    </w:p>
    <w:p>
      <w:pPr>
        <w:ind w:left="500" w:hanging="235"/>
        <w:spacing w:after="0" w:line="277" w:lineRule="auto"/>
        <w:tabs>
          <w:tab w:leader="none" w:pos="5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51" w:lineRule="exact"/>
        <w:rPr>
          <w:rFonts w:ascii="Arial" w:cs="Arial" w:eastAsia="Arial" w:hAnsi="Arial"/>
          <w:sz w:val="18"/>
          <w:szCs w:val="18"/>
          <w:color w:val="auto"/>
        </w:rPr>
      </w:pPr>
    </w:p>
    <w:p>
      <w:pPr>
        <w:ind w:left="500" w:hanging="235"/>
        <w:spacing w:after="0"/>
        <w:tabs>
          <w:tab w:leader="none" w:pos="5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06" w:lineRule="exact"/>
        <w:rPr>
          <w:rFonts w:ascii="Arial" w:cs="Arial" w:eastAsia="Arial" w:hAnsi="Arial"/>
          <w:sz w:val="18"/>
          <w:szCs w:val="18"/>
          <w:color w:val="auto"/>
        </w:rPr>
      </w:pPr>
    </w:p>
    <w:p>
      <w:pPr>
        <w:ind w:left="500" w:hanging="235"/>
        <w:spacing w:after="0"/>
        <w:tabs>
          <w:tab w:leader="none" w:pos="5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92" w:lineRule="exact"/>
        <w:rPr>
          <w:rFonts w:ascii="Arial" w:cs="Arial" w:eastAsia="Arial" w:hAnsi="Arial"/>
          <w:sz w:val="18"/>
          <w:szCs w:val="18"/>
          <w:color w:val="auto"/>
        </w:rPr>
      </w:pPr>
    </w:p>
    <w:p>
      <w:pPr>
        <w:ind w:left="260" w:hanging="193"/>
        <w:spacing w:after="0"/>
        <w:tabs>
          <w:tab w:leader="none" w:pos="2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43" w:lineRule="exact"/>
        <w:rPr>
          <w:rFonts w:ascii="MS PGothic" w:cs="MS PGothic" w:eastAsia="MS PGothic" w:hAnsi="MS PGothic"/>
          <w:sz w:val="18"/>
          <w:szCs w:val="18"/>
          <w:color w:val="auto"/>
        </w:rPr>
      </w:pPr>
    </w:p>
    <w:p>
      <w:pPr>
        <w:ind w:left="260" w:right="400" w:hanging="193"/>
        <w:spacing w:after="0" w:line="277" w:lineRule="auto"/>
        <w:tabs>
          <w:tab w:leader="none" w:pos="2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500" w:hanging="235"/>
        <w:spacing w:after="0"/>
        <w:tabs>
          <w:tab w:leader="none" w:pos="5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06" w:lineRule="exact"/>
        <w:rPr>
          <w:rFonts w:ascii="Arial" w:cs="Arial" w:eastAsia="Arial" w:hAnsi="Arial"/>
          <w:sz w:val="18"/>
          <w:szCs w:val="18"/>
          <w:color w:val="auto"/>
        </w:rPr>
      </w:pPr>
    </w:p>
    <w:p>
      <w:pPr>
        <w:ind w:left="500" w:hanging="235"/>
        <w:spacing w:after="0"/>
        <w:tabs>
          <w:tab w:leader="none" w:pos="5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06" w:lineRule="exact"/>
        <w:rPr>
          <w:rFonts w:ascii="Arial" w:cs="Arial" w:eastAsia="Arial" w:hAnsi="Arial"/>
          <w:sz w:val="18"/>
          <w:szCs w:val="18"/>
          <w:color w:val="auto"/>
        </w:rPr>
      </w:pPr>
    </w:p>
    <w:p>
      <w:pPr>
        <w:ind w:left="500" w:hanging="235"/>
        <w:spacing w:after="0"/>
        <w:tabs>
          <w:tab w:leader="none" w:pos="5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06" w:lineRule="exact"/>
        <w:rPr>
          <w:rFonts w:ascii="Arial" w:cs="Arial" w:eastAsia="Arial" w:hAnsi="Arial"/>
          <w:sz w:val="18"/>
          <w:szCs w:val="18"/>
          <w:color w:val="auto"/>
        </w:rPr>
      </w:pPr>
    </w:p>
    <w:p>
      <w:pPr>
        <w:ind w:left="500" w:hanging="235"/>
        <w:spacing w:after="0"/>
        <w:tabs>
          <w:tab w:leader="none" w:pos="5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177800</wp:posOffset>
            </wp:positionV>
            <wp:extent cx="693801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-147320</wp:posOffset>
            </wp:positionV>
            <wp:extent cx="69380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-473075</wp:posOffset>
            </wp:positionV>
            <wp:extent cx="69380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-799465</wp:posOffset>
            </wp:positionV>
            <wp:extent cx="69380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-1562735</wp:posOffset>
            </wp:positionV>
            <wp:extent cx="69380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-1888490</wp:posOffset>
            </wp:positionV>
            <wp:extent cx="69380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-2214245</wp:posOffset>
            </wp:positionV>
            <wp:extent cx="69380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-2677160</wp:posOffset>
            </wp:positionV>
            <wp:extent cx="69380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-3002915</wp:posOffset>
            </wp:positionV>
            <wp:extent cx="69380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512445</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889635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240" w:top="522" w:right="4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NATIONAL VISION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2435 COMMERCE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BUILDING 2200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GEORGIA 30096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 TO PROXY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JUNE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This Supplement to Proxy Statement (this “Supplement”) relates to the Proxy Statement of National Vision Holdings, Inc. (the “Company”) that is first being distributed to stockholders on or about April 25, 2018 (the “Proxy Statement”). Due to a clerical error, certain audit and non-audit fees with respect to fiscal 2017 set forth in the version of the Proxy Statement that is being mailed to stockholders are incorrect. The audit and non-audit fees set forth in each of the Company’s Annual Report on Form 10-K for the fiscal year ended December 30, 2017 and in the version of the Proxy Statement that was filed with the Securities and Exchange Commission on April 25, 2018 are correct, and are set forth below:</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229"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following table presents fees for professional services rendered by our independent registered public accounting firm, Deloitte &amp; Touche LLP for the audit of our financial statements for 2017 and 2016 and for fees billed for other services rendered by Deloitte during those periods.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1640" w:type="dxa"/>
            <w:vAlign w:val="bottom"/>
          </w:tcPr>
          <w:p>
            <w:pPr>
              <w:jc w:val="center"/>
              <w:ind w:left="550"/>
              <w:spacing w:after="0"/>
              <w:rPr>
                <w:sz w:val="20"/>
                <w:szCs w:val="20"/>
                <w:color w:val="auto"/>
              </w:rPr>
            </w:pPr>
            <w:r>
              <w:rPr>
                <w:rFonts w:ascii="Arial" w:cs="Arial" w:eastAsia="Arial" w:hAnsi="Arial"/>
                <w:sz w:val="18"/>
                <w:szCs w:val="18"/>
                <w:color w:val="auto"/>
                <w:w w:val="88"/>
              </w:rPr>
              <w:t>Fiscal Year</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tcPr>
          <w:p>
            <w:pPr>
              <w:jc w:val="right"/>
              <w:ind w:right="650"/>
              <w:spacing w:after="0"/>
              <w:rPr>
                <w:sz w:val="20"/>
                <w:szCs w:val="20"/>
                <w:color w:val="auto"/>
              </w:rPr>
            </w:pPr>
            <w:r>
              <w:rPr>
                <w:rFonts w:ascii="Arial" w:cs="Arial" w:eastAsia="Arial" w:hAnsi="Arial"/>
                <w:sz w:val="18"/>
                <w:szCs w:val="18"/>
                <w:color w:val="auto"/>
              </w:rPr>
              <w:t>Fiscal Year</w:t>
            </w:r>
          </w:p>
        </w:tc>
        <w:tc>
          <w:tcPr>
            <w:tcW w:w="0" w:type="dxa"/>
            <w:vAlign w:val="bottom"/>
          </w:tcPr>
          <w:p>
            <w:pPr>
              <w:spacing w:after="0"/>
              <w:rPr>
                <w:sz w:val="1"/>
                <w:szCs w:val="1"/>
                <w:color w:val="auto"/>
              </w:rPr>
            </w:pPr>
          </w:p>
        </w:tc>
      </w:tr>
      <w:tr>
        <w:trPr>
          <w:trHeight w:val="237"/>
        </w:trPr>
        <w:tc>
          <w:tcPr>
            <w:tcW w:w="676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thousands</w:t>
            </w:r>
          </w:p>
        </w:tc>
        <w:tc>
          <w:tcPr>
            <w:tcW w:w="16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2017</w:t>
            </w:r>
          </w:p>
        </w:tc>
        <w:tc>
          <w:tcPr>
            <w:tcW w:w="6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Audit fees(1)</w:t>
            </w:r>
          </w:p>
        </w:tc>
        <w:tc>
          <w:tcPr>
            <w:tcW w:w="16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2,420</w:t>
            </w:r>
          </w:p>
        </w:tc>
        <w:tc>
          <w:tcPr>
            <w:tcW w:w="2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Audit-related fees(2)</w:t>
            </w:r>
          </w:p>
        </w:tc>
        <w:tc>
          <w:tcPr>
            <w:tcW w:w="164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397</w:t>
            </w:r>
          </w:p>
        </w:tc>
        <w:tc>
          <w:tcPr>
            <w:tcW w:w="2400" w:type="dxa"/>
            <w:vAlign w:val="bottom"/>
            <w:gridSpan w:val="2"/>
          </w:tcPr>
          <w:p>
            <w:pPr>
              <w:jc w:val="right"/>
              <w:ind w:right="1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Tax fees(3)</w:t>
            </w:r>
          </w:p>
        </w:tc>
        <w:tc>
          <w:tcPr>
            <w:tcW w:w="16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2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 other fees</w:t>
            </w:r>
          </w:p>
        </w:tc>
        <w:tc>
          <w:tcPr>
            <w:tcW w:w="16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2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2,823</w:t>
            </w:r>
          </w:p>
        </w:tc>
        <w:tc>
          <w:tcPr>
            <w:tcW w:w="14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w:t>
            </w: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60" w:type="dxa"/>
            <w:vAlign w:val="bottom"/>
            <w:vMerge w:val="continue"/>
          </w:tcPr>
          <w:p>
            <w:pPr>
              <w:spacing w:after="0"/>
              <w:rPr>
                <w:sz w:val="16"/>
                <w:szCs w:val="16"/>
                <w:color w:val="auto"/>
              </w:rPr>
            </w:pPr>
          </w:p>
        </w:tc>
        <w:tc>
          <w:tcPr>
            <w:tcW w:w="1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240" w:hanging="232"/>
        <w:spacing w:after="0" w:line="265" w:lineRule="auto"/>
        <w:tabs>
          <w:tab w:leader="none" w:pos="292"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Includes the aggregate fees for professional services rendered for the audit of the Company’s annual financial statements and the quarterly reviews of its financial statements, assistance with documents filed with the SEC, and assistance with documents related to our IPO process.</w:t>
      </w: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amounts for due diligence services.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the aggregate fees for professional services rendered for tax compliance, and tax consultation and planning.</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Stockholder Meeting to Be Held on June 6, 2018: This Supplement, the Proxy Statement and our Annual Report are available free of charge at </w:t>
      </w:r>
      <w:r>
        <w:rPr>
          <w:rFonts w:ascii="Arial" w:cs="Arial" w:eastAsia="Arial" w:hAnsi="Arial"/>
          <w:sz w:val="18"/>
          <w:szCs w:val="18"/>
          <w:b w:val="1"/>
          <w:bCs w:val="1"/>
          <w:i w:val="1"/>
          <w:iCs w:val="1"/>
          <w:u w:val="single" w:color="auto"/>
          <w:color w:val="auto"/>
        </w:rPr>
        <w:t>www.edocumentview.com/EYE</w:t>
      </w:r>
      <w:r>
        <w:rPr>
          <w:rFonts w:ascii="Arial" w:cs="Arial" w:eastAsia="Arial" w:hAnsi="Arial"/>
          <w:sz w:val="18"/>
          <w:szCs w:val="18"/>
          <w:b w:val="1"/>
          <w:bCs w:val="1"/>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April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2019-12-08T15:59:16Z</dcterms:created>
  <dcterms:modified xsi:type="dcterms:W3CDTF">2019-12-08T15:59:16Z</dcterms:modified>
</cp:coreProperties>
</file>