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8621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86219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Foell Charles</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20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10/25/2017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National Vision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EYE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18"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494"/>
        <w:spacing w:after="0" w:line="268" w:lineRule="auto"/>
        <w:rPr>
          <w:sz w:val="20"/>
          <w:szCs w:val="20"/>
          <w:color w:val="auto"/>
        </w:rPr>
      </w:pPr>
      <w:r>
        <w:rPr>
          <w:rFonts w:ascii="Arial" w:cs="Arial" w:eastAsia="Arial" w:hAnsi="Arial"/>
          <w:sz w:val="18"/>
          <w:szCs w:val="18"/>
          <w:color w:val="0000FF"/>
        </w:rPr>
        <w:t>C/O NATIONAL VISION HOLDINGS, INC.</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2435 COMMERCE AVENUE, BLDG. 2200</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126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w w:val="92"/>
              </w:rPr>
              <w:t>DULUTHGA</w:t>
            </w:r>
          </w:p>
        </w:tc>
        <w:tc>
          <w:tcPr>
            <w:tcW w:w="1260" w:type="dxa"/>
            <w:vAlign w:val="bottom"/>
          </w:tcPr>
          <w:p>
            <w:pPr>
              <w:jc w:val="right"/>
              <w:spacing w:after="0"/>
              <w:rPr>
                <w:sz w:val="20"/>
                <w:szCs w:val="20"/>
                <w:color w:val="auto"/>
              </w:rPr>
            </w:pPr>
            <w:r>
              <w:rPr>
                <w:rFonts w:ascii="Arial" w:cs="Arial" w:eastAsia="Arial" w:hAnsi="Arial"/>
                <w:sz w:val="18"/>
                <w:szCs w:val="18"/>
                <w:color w:val="0000FF"/>
              </w:rPr>
              <w:t>30096-4980</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26"/>
        <w:spacing w:after="0"/>
        <w:rPr>
          <w:sz w:val="20"/>
          <w:szCs w:val="20"/>
          <w:color w:val="auto"/>
        </w:rPr>
      </w:pPr>
      <w:r>
        <w:rPr>
          <w:rFonts w:ascii="Arial" w:cs="Arial" w:eastAsia="Arial" w:hAnsi="Arial"/>
          <w:sz w:val="18"/>
          <w:szCs w:val="18"/>
          <w:color w:val="0000FF"/>
        </w:rPr>
        <w:t>SVP, Manuf. And Distrib.</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ind w:left="620"/>
              <w:spacing w:after="0"/>
              <w:rPr>
                <w:sz w:val="20"/>
                <w:szCs w:val="20"/>
                <w:color w:val="auto"/>
              </w:rPr>
            </w:pPr>
            <w:r>
              <w:rPr>
                <w:rFonts w:ascii="Arial" w:cs="Arial" w:eastAsia="Arial" w:hAnsi="Arial"/>
                <w:sz w:val="18"/>
                <w:szCs w:val="18"/>
                <w:color w:val="0000FF"/>
              </w:rPr>
              <w:t>10,171</w:t>
            </w:r>
          </w:p>
        </w:tc>
        <w:tc>
          <w:tcPr>
            <w:tcW w:w="900" w:type="dxa"/>
            <w:vAlign w:val="bottom"/>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03/13/2024</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ind w:left="320"/>
              <w:spacing w:after="0"/>
              <w:rPr>
                <w:sz w:val="20"/>
                <w:szCs w:val="20"/>
                <w:color w:val="auto"/>
              </w:rPr>
            </w:pPr>
            <w:r>
              <w:rPr>
                <w:rFonts w:ascii="Arial" w:cs="Arial" w:eastAsia="Arial" w:hAnsi="Arial"/>
                <w:sz w:val="18"/>
                <w:szCs w:val="18"/>
                <w:color w:val="0000FF"/>
              </w:rPr>
              <w:t>40,279</w:t>
            </w:r>
          </w:p>
        </w:tc>
        <w:tc>
          <w:tcPr>
            <w:tcW w:w="880" w:type="dxa"/>
            <w:vAlign w:val="bottom"/>
          </w:tcPr>
          <w:p>
            <w:pPr>
              <w:ind w:left="280"/>
              <w:spacing w:after="0"/>
              <w:rPr>
                <w:sz w:val="20"/>
                <w:szCs w:val="20"/>
                <w:color w:val="auto"/>
              </w:rPr>
            </w:pPr>
            <w:r>
              <w:rPr>
                <w:rFonts w:ascii="Arial" w:cs="Arial" w:eastAsia="Arial" w:hAnsi="Arial"/>
                <w:sz w:val="18"/>
                <w:szCs w:val="18"/>
                <w:color w:val="0000FF"/>
              </w:rPr>
              <w:t>4.27</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03/13/2024</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ind w:left="320"/>
              <w:spacing w:after="0"/>
              <w:rPr>
                <w:sz w:val="20"/>
                <w:szCs w:val="20"/>
                <w:color w:val="auto"/>
              </w:rPr>
            </w:pPr>
            <w:r>
              <w:rPr>
                <w:rFonts w:ascii="Arial" w:cs="Arial" w:eastAsia="Arial" w:hAnsi="Arial"/>
                <w:sz w:val="18"/>
                <w:szCs w:val="18"/>
                <w:color w:val="0000FF"/>
              </w:rPr>
              <w:t>13,426</w:t>
            </w:r>
          </w:p>
        </w:tc>
        <w:tc>
          <w:tcPr>
            <w:tcW w:w="880" w:type="dxa"/>
            <w:vAlign w:val="bottom"/>
          </w:tcPr>
          <w:p>
            <w:pPr>
              <w:ind w:left="280"/>
              <w:spacing w:after="0"/>
              <w:rPr>
                <w:sz w:val="20"/>
                <w:szCs w:val="20"/>
                <w:color w:val="auto"/>
              </w:rPr>
            </w:pPr>
            <w:r>
              <w:rPr>
                <w:rFonts w:ascii="Arial" w:cs="Arial" w:eastAsia="Arial" w:hAnsi="Arial"/>
                <w:sz w:val="18"/>
                <w:szCs w:val="18"/>
                <w:color w:val="0000FF"/>
              </w:rPr>
              <w:t>7.25</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(3)</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03/13/2024</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ind w:left="320"/>
              <w:spacing w:after="0"/>
              <w:rPr>
                <w:sz w:val="20"/>
                <w:szCs w:val="20"/>
                <w:color w:val="auto"/>
              </w:rPr>
            </w:pPr>
            <w:r>
              <w:rPr>
                <w:rFonts w:ascii="Arial" w:cs="Arial" w:eastAsia="Arial" w:hAnsi="Arial"/>
                <w:sz w:val="18"/>
                <w:szCs w:val="18"/>
                <w:color w:val="0000FF"/>
              </w:rPr>
              <w:t>13,426</w:t>
            </w:r>
          </w:p>
        </w:tc>
        <w:tc>
          <w:tcPr>
            <w:tcW w:w="880" w:type="dxa"/>
            <w:vAlign w:val="bottom"/>
          </w:tcPr>
          <w:p>
            <w:pPr>
              <w:ind w:left="280"/>
              <w:spacing w:after="0"/>
              <w:rPr>
                <w:sz w:val="20"/>
                <w:szCs w:val="20"/>
                <w:color w:val="auto"/>
              </w:rPr>
            </w:pPr>
            <w:r>
              <w:rPr>
                <w:rFonts w:ascii="Arial" w:cs="Arial" w:eastAsia="Arial" w:hAnsi="Arial"/>
                <w:sz w:val="18"/>
                <w:szCs w:val="18"/>
                <w:color w:val="0000FF"/>
              </w:rPr>
              <w:t>8.23</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18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Of these 40,279 stock options, 13,426 are vested and the remaining 26,853 stock options will vest in two equal annual installments on March 13, 2018 and 2019. An additional 100,698 stock options which remain subject to liquidity-event performance-based vesting conditions are not included in the table above.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These stock options are fully vested.</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These stock options are fully vested.</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List: Exhibit 24 - Power of Attorney</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4"/>
              </w:rPr>
              <w:t>/s/ Jared Brandman, as</w:t>
            </w:r>
          </w:p>
        </w:tc>
        <w:tc>
          <w:tcPr>
            <w:tcW w:w="52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10/25/2017</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24</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25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Know all by these presents that the undersigned does hereby make, constitute and appoint each of Mitchell Goodman, Jared Brandman and Ronnie Brown, or any one of them, as a true and lawful attorney-in-fact and agent of the undersigned, 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National Vision Holdings, Inc. (i) pursuant to Section 16(a) of the Securities Exchange Act of 1934, as amended, including without limitation, statements on Form 3, Form 4 and Form 5 (including any amendments thereto), and (ii) in connection with any applications for EDGAR access codes or any other documents necessary or appropriate to obtain codes and passwords enabling the undersigned to make electronic filings with the Securities and Exchange Commission, including without limitation the Form ID. This Power of Attorney shall remain in full force and effect until the undersigned is no longer required to file Forms 3, 4 and 5 with regard to the undersigned's ownership of or transactions in securities of National Vision Holdings, Inc., unless earlier revoked in writing. The undersigned acknowledges that Mitchell Goodman, Jared Brandman and Ronnie Brown are not assuming any of the undersigned's responsibilities to comply with Section 16 of the Securities Exchange Act of 1934.</w:t>
      </w:r>
    </w:p>
    <w:p>
      <w:pPr>
        <w:spacing w:after="0" w:line="210" w:lineRule="exact"/>
        <w:rPr>
          <w:sz w:val="20"/>
          <w:szCs w:val="20"/>
          <w:color w:val="auto"/>
        </w:rPr>
      </w:pPr>
    </w:p>
    <w:p>
      <w:pPr>
        <w:ind w:left="5740"/>
        <w:spacing w:after="0"/>
        <w:tabs>
          <w:tab w:leader="none" w:pos="6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Charles Foell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187833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87833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Charles Foell</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23495</wp:posOffset>
            </wp:positionV>
            <wp:extent cx="121793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1793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417830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1" Type="http://schemas.openxmlformats.org/officeDocument/2006/relationships/hyperlink" Target="http://www.sec.gov/cgi-bin/browse-edgar?action=getcompany&amp;CIK=0001719313" TargetMode="External"/><Relationship Id="rId12" Type="http://schemas.openxmlformats.org/officeDocument/2006/relationships/hyperlink" Target="http://www.sec.gov/cgi-bin/browse-edgar?action=getcompany&amp;CIK=00017101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2019-12-04T02:34:28Z</dcterms:created>
  <dcterms:modified xsi:type="dcterms:W3CDTF">2019-12-04T02:34:28Z</dcterms:modified>
</cp:coreProperties>
</file>