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February 7,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Paul A Criscillis Jr</w:t>
      </w:r>
    </w:p>
    <w:p>
      <w:pPr>
        <w:spacing w:after="0" w:line="238" w:lineRule="auto"/>
        <w:rPr>
          <w:sz w:val="20"/>
          <w:szCs w:val="20"/>
          <w:color w:val="auto"/>
        </w:rPr>
      </w:pPr>
      <w:r>
        <w:rPr>
          <w:rFonts w:ascii="Courier New" w:cs="Courier New" w:eastAsia="Courier New" w:hAnsi="Courier New"/>
          <w:sz w:val="18"/>
          <w:szCs w:val="18"/>
          <w:color w:val="auto"/>
        </w:rPr>
        <w:t>National Vision Inc.</w:t>
      </w:r>
    </w:p>
    <w:p>
      <w:pPr>
        <w:spacing w:after="0"/>
        <w:rPr>
          <w:sz w:val="20"/>
          <w:szCs w:val="20"/>
          <w:color w:val="auto"/>
        </w:rPr>
      </w:pPr>
      <w:r>
        <w:rPr>
          <w:rFonts w:ascii="Courier New" w:cs="Courier New" w:eastAsia="Courier New" w:hAnsi="Courier New"/>
          <w:sz w:val="18"/>
          <w:szCs w:val="18"/>
          <w:color w:val="auto"/>
        </w:rPr>
        <w:t>296 Grayson Highway</w:t>
      </w:r>
    </w:p>
    <w:p>
      <w:pPr>
        <w:spacing w:after="0" w:line="237" w:lineRule="auto"/>
        <w:rPr>
          <w:sz w:val="20"/>
          <w:szCs w:val="20"/>
          <w:color w:val="auto"/>
        </w:rPr>
      </w:pPr>
      <w:r>
        <w:rPr>
          <w:rFonts w:ascii="Courier New" w:cs="Courier New" w:eastAsia="Courier New" w:hAnsi="Courier New"/>
          <w:sz w:val="18"/>
          <w:szCs w:val="18"/>
          <w:color w:val="auto"/>
        </w:rPr>
        <w:t>Lawrenceville, GA 30045</w:t>
      </w:r>
    </w:p>
    <w:p>
      <w:pPr>
        <w:spacing w:after="0" w:line="202"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Amended - Schedule 13G</w:t>
      </w:r>
    </w:p>
    <w:p>
      <w:pPr>
        <w:spacing w:after="0" w:line="207" w:lineRule="exact"/>
        <w:rPr>
          <w:sz w:val="24"/>
          <w:szCs w:val="24"/>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Enclosed pursuant to Rule 13d-1(b) under the Securities Exchange Act of 1934 is a report on Schedule 13G reporting beneficial ownership at December 31, 2005 by Ameriprise Financial, Inc. in Common Stock of National Vision Inc.</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 Steve Turbenson</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 Turbenson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 Fund Administration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Enclosure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Under the Securities and Exchange Act of 1934</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National Vision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63845P101</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2005</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This Schedule is filed pursuant to Rule 13d-1(b)</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ectPr>
          <w:pgSz w:w="11900" w:h="16838" w:orient="portrait"/>
          <w:cols w:equalWidth="0" w:num="1">
            <w:col w:w="10219"/>
          </w:cols>
          <w:pgMar w:left="240" w:top="244"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63845P101</w:t>
      </w:r>
    </w:p>
    <w:p>
      <w:pPr>
        <w:spacing w:after="0" w:line="200" w:lineRule="exact"/>
        <w:rPr>
          <w:sz w:val="20"/>
          <w:szCs w:val="20"/>
          <w:color w:val="auto"/>
        </w:rPr>
      </w:pPr>
    </w:p>
    <w:p>
      <w:pPr>
        <w:sectPr>
          <w:pgSz w:w="11900" w:h="16838" w:orient="portrait"/>
          <w:cols w:equalWidth="0" w:num="2">
            <w:col w:w="960" w:space="320"/>
            <w:col w:w="8939"/>
          </w:cols>
          <w:pgMar w:left="240" w:top="520" w:right="1440" w:bottom="1440" w:gutter="0" w:footer="0" w:header="0"/>
        </w:sectPr>
      </w:pPr>
    </w:p>
    <w:p>
      <w:pPr>
        <w:spacing w:after="0" w:line="2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 of Reporting Person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Ameriprise Financial, Inc.</w:t>
      </w:r>
    </w:p>
    <w:p>
      <w:pPr>
        <w:spacing w:after="0" w:line="200" w:lineRule="exact"/>
        <w:rPr>
          <w:sz w:val="20"/>
          <w:szCs w:val="20"/>
          <w:color w:val="auto"/>
        </w:rPr>
      </w:pPr>
    </w:p>
    <w:p>
      <w:pPr>
        <w:sectPr>
          <w:pgSz w:w="11900" w:h="16838" w:orient="portrait"/>
          <w:cols w:equalWidth="0" w:num="2">
            <w:col w:w="4340" w:space="720"/>
            <w:col w:w="5159"/>
          </w:cols>
          <w:pgMar w:left="240" w:top="520" w:right="1440" w:bottom="1440" w:gutter="0" w:footer="0" w:header="0"/>
          <w:type w:val="continuous"/>
        </w:sectPr>
      </w:pPr>
    </w:p>
    <w:p>
      <w:pPr>
        <w:spacing w:after="0" w:line="24" w:lineRule="exact"/>
        <w:rPr>
          <w:sz w:val="20"/>
          <w:szCs w:val="20"/>
          <w:color w:val="auto"/>
        </w:rPr>
      </w:pPr>
    </w:p>
    <w:p>
      <w:pPr>
        <w:ind w:left="740" w:right="540"/>
        <w:spacing w:after="0" w:line="290" w:lineRule="auto"/>
        <w:rPr>
          <w:sz w:val="20"/>
          <w:szCs w:val="20"/>
          <w:color w:val="auto"/>
        </w:rPr>
      </w:pPr>
      <w:r>
        <w:rPr>
          <w:rFonts w:ascii="Courier New" w:cs="Courier New" w:eastAsia="Courier New" w:hAnsi="Courier New"/>
          <w:sz w:val="16"/>
          <w:szCs w:val="16"/>
          <w:color w:val="auto"/>
        </w:rPr>
        <w:t>S.S. or I.R.S. Identification No. of Above Person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No. 13-3180631</w:t>
      </w:r>
    </w:p>
    <w:p>
      <w:pPr>
        <w:spacing w:after="0" w:line="426" w:lineRule="exact"/>
        <w:rPr>
          <w:sz w:val="20"/>
          <w:szCs w:val="20"/>
          <w:color w:val="auto"/>
        </w:rPr>
      </w:pPr>
    </w:p>
    <w:p>
      <w:pPr>
        <w:sectPr>
          <w:pgSz w:w="11900" w:h="16838" w:orient="portrait"/>
          <w:cols w:equalWidth="0" w:num="2">
            <w:col w:w="4340" w:space="720"/>
            <w:col w:w="515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2)</w:t>
            </w:r>
          </w:p>
        </w:tc>
        <w:tc>
          <w:tcPr>
            <w:tcW w:w="3740" w:type="dxa"/>
            <w:vAlign w:val="bottom"/>
          </w:tcPr>
          <w:p>
            <w:pPr>
              <w:ind w:left="260"/>
              <w:spacing w:after="0"/>
              <w:rPr>
                <w:sz w:val="20"/>
                <w:szCs w:val="20"/>
                <w:color w:val="auto"/>
              </w:rPr>
            </w:pPr>
            <w:r>
              <w:rPr>
                <w:rFonts w:ascii="Courier New" w:cs="Courier New" w:eastAsia="Courier New" w:hAnsi="Courier New"/>
                <w:sz w:val="18"/>
                <w:szCs w:val="18"/>
                <w:color w:val="auto"/>
              </w:rPr>
              <w:t>Check the Appropriate Box</w:t>
            </w:r>
          </w:p>
        </w:tc>
        <w:tc>
          <w:tcPr>
            <w:tcW w:w="2640" w:type="dxa"/>
            <w:vAlign w:val="bottom"/>
          </w:tcPr>
          <w:p>
            <w:pPr>
              <w:ind w:left="840"/>
              <w:spacing w:after="0"/>
              <w:rPr>
                <w:sz w:val="20"/>
                <w:szCs w:val="20"/>
                <w:color w:val="auto"/>
              </w:rPr>
            </w:pPr>
            <w:r>
              <w:rPr>
                <w:rFonts w:ascii="Courier New" w:cs="Courier New" w:eastAsia="Courier New" w:hAnsi="Courier New"/>
                <w:sz w:val="18"/>
                <w:szCs w:val="18"/>
                <w:color w:val="auto"/>
              </w:rPr>
              <w:t>(a)</w:t>
            </w:r>
          </w:p>
        </w:tc>
      </w:tr>
      <w:tr>
        <w:trPr>
          <w:trHeight w:val="203"/>
        </w:trPr>
        <w:tc>
          <w:tcPr>
            <w:tcW w:w="4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80" w:type="dxa"/>
            <w:vAlign w:val="bottom"/>
          </w:tcPr>
          <w:p>
            <w:pPr>
              <w:spacing w:after="0"/>
              <w:rPr>
                <w:sz w:val="17"/>
                <w:szCs w:val="17"/>
                <w:color w:val="auto"/>
              </w:rPr>
            </w:pP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2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(b) X*</w:t>
            </w:r>
          </w:p>
        </w:tc>
      </w:tr>
      <w:tr>
        <w:trPr>
          <w:trHeight w:val="203"/>
        </w:trPr>
        <w:tc>
          <w:tcPr>
            <w:tcW w:w="4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*This filing describes the reporting person's relationship with other persons, but the reporting person does not affirm the existence of a group.</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4)</w:t>
            </w:r>
          </w:p>
        </w:tc>
        <w:tc>
          <w:tcPr>
            <w:tcW w:w="43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Citizenship or Place of Organization</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480" w:type="dxa"/>
            <w:vAlign w:val="bottom"/>
          </w:tcPr>
          <w:p>
            <w:pPr>
              <w:spacing w:after="0"/>
              <w:rPr>
                <w:sz w:val="24"/>
                <w:szCs w:val="24"/>
                <w:color w:val="auto"/>
              </w:rPr>
            </w:pPr>
          </w:p>
        </w:tc>
        <w:tc>
          <w:tcPr>
            <w:tcW w:w="712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7"/>
              </w:rPr>
              <w:t>NUMBER OF SHARES BENEFICIALLY OWNED BY EACH REPORTING PERSON WITH</w:t>
            </w:r>
          </w:p>
        </w:tc>
      </w:tr>
      <w:tr>
        <w:trPr>
          <w:trHeight w:val="405"/>
        </w:trPr>
        <w:tc>
          <w:tcPr>
            <w:tcW w:w="480" w:type="dxa"/>
            <w:vAlign w:val="bottom"/>
          </w:tcPr>
          <w:p>
            <w:pPr>
              <w:spacing w:after="0"/>
              <w:rPr>
                <w:sz w:val="24"/>
                <w:szCs w:val="24"/>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36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-0-</w:t>
            </w:r>
          </w:p>
        </w:tc>
      </w:tr>
      <w:tr>
        <w:trPr>
          <w:trHeight w:val="203"/>
        </w:trPr>
        <w:tc>
          <w:tcPr>
            <w:tcW w:w="480" w:type="dxa"/>
            <w:vAlign w:val="bottom"/>
          </w:tcPr>
          <w:p>
            <w:pPr>
              <w:spacing w:after="0"/>
              <w:rPr>
                <w:sz w:val="17"/>
                <w:szCs w:val="17"/>
                <w:color w:val="auto"/>
              </w:rPr>
            </w:pPr>
          </w:p>
        </w:tc>
        <w:tc>
          <w:tcPr>
            <w:tcW w:w="4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80" w:type="dxa"/>
            <w:vAlign w:val="bottom"/>
          </w:tcPr>
          <w:p>
            <w:pPr>
              <w:spacing w:after="0"/>
              <w:rPr>
                <w:sz w:val="17"/>
                <w:szCs w:val="17"/>
                <w:color w:val="auto"/>
              </w:rPr>
            </w:pPr>
          </w:p>
        </w:tc>
        <w:tc>
          <w:tcPr>
            <w:tcW w:w="4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80" w:type="dxa"/>
            <w:vAlign w:val="bottom"/>
          </w:tcPr>
          <w:p>
            <w:pPr>
              <w:spacing w:after="0"/>
              <w:rPr>
                <w:sz w:val="17"/>
                <w:szCs w:val="17"/>
                <w:color w:val="auto"/>
              </w:rPr>
            </w:pPr>
          </w:p>
        </w:tc>
        <w:tc>
          <w:tcPr>
            <w:tcW w:w="4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80" w:type="dxa"/>
            <w:vAlign w:val="bottom"/>
          </w:tcPr>
          <w:p>
            <w:pPr>
              <w:spacing w:after="0"/>
              <w:rPr>
                <w:sz w:val="17"/>
                <w:szCs w:val="17"/>
                <w:color w:val="auto"/>
              </w:rPr>
            </w:pPr>
          </w:p>
        </w:tc>
        <w:tc>
          <w:tcPr>
            <w:tcW w:w="4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740" w:hanging="732"/>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w:t>
      </w:r>
    </w:p>
    <w:p>
      <w:pPr>
        <w:sectPr>
          <w:pgSz w:w="11900" w:h="16838" w:orient="portrait"/>
          <w:cols w:equalWidth="0" w:num="1">
            <w:col w:w="10219"/>
          </w:cols>
          <w:pgMar w:left="240" w:top="520" w:right="1440" w:bottom="1440" w:gutter="0" w:footer="0" w:header="0"/>
          <w:type w:val="continuous"/>
        </w:sectPr>
      </w:pP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Owned by Each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4340" w:space="720"/>
            <w:col w:w="515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ind w:left="740" w:right="220" w:hanging="739"/>
        <w:spacing w:after="0" w:line="290" w:lineRule="auto"/>
        <w:tabs>
          <w:tab w:leader="none" w:pos="720" w:val="left"/>
        </w:tabs>
        <w:rPr>
          <w:sz w:val="20"/>
          <w:szCs w:val="20"/>
          <w:color w:val="auto"/>
        </w:rPr>
      </w:pP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Check if the Aggregate Amount in Row (9) Excludes Certain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24" w:lineRule="exact"/>
        <w:rPr>
          <w:sz w:val="20"/>
          <w:szCs w:val="20"/>
          <w:color w:val="auto"/>
        </w:rPr>
      </w:pPr>
    </w:p>
    <w:p>
      <w:pPr>
        <w:sectPr>
          <w:pgSz w:w="11900" w:h="16838" w:orient="portrait"/>
          <w:cols w:equalWidth="0" w:num="2">
            <w:col w:w="4340" w:space="720"/>
            <w:col w:w="515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ind w:left="740" w:hanging="732"/>
        <w:spacing w:after="0"/>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w:t>
      </w:r>
    </w:p>
    <w:p>
      <w:pPr>
        <w:sectPr>
          <w:pgSz w:w="11900" w:h="16838" w:orient="portrait"/>
          <w:cols w:equalWidth="0" w:num="1">
            <w:col w:w="10219"/>
          </w:cols>
          <w:pgMar w:left="240" w:top="520" w:right="1440" w:bottom="1440" w:gutter="0" w:footer="0" w:header="0"/>
          <w:type w:val="continuous"/>
        </w:sectPr>
      </w:pP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Amount In Row (9)</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w:t>
      </w:r>
    </w:p>
    <w:p>
      <w:pPr>
        <w:spacing w:after="0" w:line="200" w:lineRule="exact"/>
        <w:rPr>
          <w:sz w:val="20"/>
          <w:szCs w:val="20"/>
          <w:color w:val="auto"/>
        </w:rPr>
      </w:pPr>
    </w:p>
    <w:p>
      <w:pPr>
        <w:sectPr>
          <w:pgSz w:w="11900" w:h="16838" w:orient="portrait"/>
          <w:cols w:equalWidth="0" w:num="2">
            <w:col w:w="4340" w:space="720"/>
            <w:col w:w="515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Type of Reporting Person</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w:t>
      </w:r>
    </w:p>
    <w:p>
      <w:pPr>
        <w:spacing w:after="0" w:line="200" w:lineRule="exact"/>
        <w:rPr>
          <w:sz w:val="20"/>
          <w:szCs w:val="20"/>
          <w:color w:val="auto"/>
        </w:rPr>
      </w:pPr>
    </w:p>
    <w:p>
      <w:pPr>
        <w:sectPr>
          <w:pgSz w:w="11900" w:h="16838" w:orient="portrait"/>
          <w:cols w:equalWidth="0" w:num="2">
            <w:col w:w="4340" w:space="720"/>
            <w:col w:w="5159"/>
          </w:cols>
          <w:pgMar w:left="240" w:top="52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1(a)</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c>
          <w:tcPr>
            <w:tcW w:w="3480" w:type="dxa"/>
            <w:vAlign w:val="bottom"/>
          </w:tcPr>
          <w:p>
            <w:pPr>
              <w:ind w:left="200"/>
              <w:spacing w:after="0"/>
              <w:rPr>
                <w:sz w:val="20"/>
                <w:szCs w:val="20"/>
                <w:color w:val="auto"/>
              </w:rPr>
            </w:pPr>
            <w:r>
              <w:rPr>
                <w:rFonts w:ascii="Courier New" w:cs="Courier New" w:eastAsia="Courier New" w:hAnsi="Courier New"/>
                <w:sz w:val="18"/>
                <w:szCs w:val="18"/>
                <w:color w:val="auto"/>
              </w:rPr>
              <w:t>National Vision Inc.</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1(b)</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Address</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of Issuer's Principal</w:t>
            </w:r>
          </w:p>
        </w:tc>
        <w:tc>
          <w:tcPr>
            <w:tcW w:w="3480" w:type="dxa"/>
            <w:vAlign w:val="bottom"/>
          </w:tcPr>
          <w:p>
            <w:pPr>
              <w:ind w:left="200"/>
              <w:spacing w:after="0"/>
              <w:rPr>
                <w:sz w:val="20"/>
                <w:szCs w:val="20"/>
                <w:color w:val="auto"/>
              </w:rPr>
            </w:pPr>
            <w:r>
              <w:rPr>
                <w:rFonts w:ascii="Courier New" w:cs="Courier New" w:eastAsia="Courier New" w:hAnsi="Courier New"/>
                <w:sz w:val="18"/>
                <w:szCs w:val="18"/>
                <w:color w:val="auto"/>
              </w:rPr>
              <w:t>296 Grayson Highway</w:t>
            </w:r>
          </w:p>
        </w:tc>
      </w:tr>
      <w:tr>
        <w:trPr>
          <w:trHeight w:val="203"/>
        </w:trPr>
        <w:tc>
          <w:tcPr>
            <w:tcW w:w="580" w:type="dxa"/>
            <w:vAlign w:val="bottom"/>
          </w:tcPr>
          <w:p>
            <w:pPr>
              <w:spacing w:after="0"/>
              <w:rPr>
                <w:sz w:val="17"/>
                <w:szCs w:val="17"/>
                <w:color w:val="auto"/>
              </w:rPr>
            </w:pPr>
          </w:p>
        </w:tc>
        <w:tc>
          <w:tcPr>
            <w:tcW w:w="42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3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Lawrenceville, GA 30045</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2(a)</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Person Filing:</w:t>
            </w:r>
          </w:p>
        </w:tc>
        <w:tc>
          <w:tcPr>
            <w:tcW w:w="3480" w:type="dxa"/>
            <w:vAlign w:val="bottom"/>
          </w:tcPr>
          <w:p>
            <w:pPr>
              <w:ind w:left="200"/>
              <w:spacing w:after="0"/>
              <w:rPr>
                <w:sz w:val="20"/>
                <w:szCs w:val="20"/>
                <w:color w:val="auto"/>
              </w:rPr>
            </w:pPr>
            <w:r>
              <w:rPr>
                <w:rFonts w:ascii="Courier New" w:cs="Courier New" w:eastAsia="Courier New" w:hAnsi="Courier New"/>
                <w:sz w:val="18"/>
                <w:szCs w:val="18"/>
                <w:color w:val="auto"/>
              </w:rPr>
              <w:t>Ameriprise Financial, Inc.</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2(b)</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Address</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of Principal Business Office:</w:t>
            </w:r>
          </w:p>
        </w:tc>
        <w:tc>
          <w:tcPr>
            <w:tcW w:w="348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Ameriprise Financial, Inc.</w:t>
            </w:r>
          </w:p>
        </w:tc>
      </w:tr>
      <w:tr>
        <w:trPr>
          <w:trHeight w:val="203"/>
        </w:trPr>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145 Ameriprise Financial Center</w:t>
            </w:r>
          </w:p>
        </w:tc>
      </w:tr>
      <w:tr>
        <w:trPr>
          <w:trHeight w:val="203"/>
        </w:trPr>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Minneapolis, MN  55474</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2(c)</w:t>
            </w:r>
          </w:p>
        </w:tc>
        <w:tc>
          <w:tcPr>
            <w:tcW w:w="42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3480" w:type="dxa"/>
            <w:vAlign w:val="bottom"/>
          </w:tcPr>
          <w:p>
            <w:pPr>
              <w:ind w:left="200"/>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2(d)</w:t>
            </w:r>
          </w:p>
        </w:tc>
        <w:tc>
          <w:tcPr>
            <w:tcW w:w="42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348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2(e)</w:t>
            </w:r>
          </w:p>
        </w:tc>
        <w:tc>
          <w:tcPr>
            <w:tcW w:w="42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3480" w:type="dxa"/>
            <w:vAlign w:val="bottom"/>
          </w:tcPr>
          <w:p>
            <w:pPr>
              <w:ind w:left="200"/>
              <w:spacing w:after="0"/>
              <w:rPr>
                <w:sz w:val="20"/>
                <w:szCs w:val="20"/>
                <w:color w:val="auto"/>
              </w:rPr>
            </w:pPr>
            <w:r>
              <w:rPr>
                <w:rFonts w:ascii="Courier New" w:cs="Courier New" w:eastAsia="Courier New" w:hAnsi="Courier New"/>
                <w:sz w:val="18"/>
                <w:szCs w:val="18"/>
                <w:color w:val="auto"/>
              </w:rPr>
              <w:t>63845P101</w:t>
            </w:r>
          </w:p>
        </w:tc>
      </w:tr>
    </w:tbl>
    <w:p>
      <w:pPr>
        <w:spacing w:after="0" w:line="207" w:lineRule="exact"/>
        <w:rPr>
          <w:sz w:val="20"/>
          <w:szCs w:val="20"/>
          <w:color w:val="auto"/>
        </w:rPr>
      </w:pPr>
    </w:p>
    <w:p>
      <w:pPr>
        <w:ind w:left="740" w:right="1779" w:hanging="732"/>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if statement is filed pursuant to Rules 13d-1(b) or 13d-2(b): This Statement is filed pursuant to Rule 13d-19b) or 13d-2(b) and the person filing, Ameriprise Financial, Inc., is a parent holding company in accordance with Rule 13d-1(b)(1)(ii)(G). (Note: See Item 7)</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Amount Beneficially Owned as of December 31, 2005: Not Applicable</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Percent of Class: 0.0%</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Number of Shares as to which such person has: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ectPr>
          <w:pgSz w:w="11900" w:h="16838" w:orient="portrait"/>
          <w:cols w:equalWidth="0" w:num="1">
            <w:col w:w="10219"/>
          </w:cols>
          <w:pgMar w:left="240" w:top="717" w:right="1440" w:bottom="1440" w:gutter="0" w:footer="0" w:header="0"/>
        </w:sectPr>
      </w:pPr>
    </w:p>
    <w:bookmarkStart w:id="3" w:name="page4"/>
    <w:bookmarkEnd w:id="3"/>
    <w:p>
      <w:pPr>
        <w:ind w:left="740" w:hanging="732"/>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5% or Less of a Class:</w:t>
      </w:r>
    </w:p>
    <w:p>
      <w:pPr>
        <w:spacing w:after="0" w:line="206" w:lineRule="exact"/>
        <w:rPr>
          <w:rFonts w:ascii="Courier New" w:cs="Courier New" w:eastAsia="Courier New" w:hAnsi="Courier New"/>
          <w:sz w:val="18"/>
          <w:szCs w:val="18"/>
          <w:color w:val="auto"/>
        </w:rPr>
      </w:pPr>
    </w:p>
    <w:p>
      <w:pPr>
        <w:ind w:left="740"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this statement is being filed to report the fact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ind w:left="740" w:hanging="732"/>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more than 5% on Behalf of Another Person: Not Applicable</w:t>
      </w:r>
    </w:p>
    <w:p>
      <w:pPr>
        <w:spacing w:after="0" w:line="200" w:lineRule="exact"/>
        <w:rPr>
          <w:sz w:val="20"/>
          <w:szCs w:val="20"/>
          <w:color w:val="auto"/>
        </w:rPr>
      </w:pPr>
    </w:p>
    <w:p>
      <w:pPr>
        <w:spacing w:after="0" w:line="209" w:lineRule="exact"/>
        <w:rPr>
          <w:sz w:val="20"/>
          <w:szCs w:val="20"/>
          <w:color w:val="auto"/>
        </w:rPr>
      </w:pPr>
    </w:p>
    <w:p>
      <w:pPr>
        <w:ind w:left="740" w:right="2099" w:hanging="732"/>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See Exhibit I</w:t>
      </w:r>
    </w:p>
    <w:p>
      <w:pPr>
        <w:spacing w:after="0" w:line="201" w:lineRule="exact"/>
        <w:rPr>
          <w:sz w:val="20"/>
          <w:szCs w:val="20"/>
          <w:color w:val="auto"/>
        </w:rPr>
      </w:pPr>
    </w:p>
    <w:p>
      <w:pPr>
        <w:ind w:left="740" w:hanging="732"/>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Members of the Group:</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Notice of Dissolution of Group:</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740" w:hanging="732"/>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w:t>
      </w:r>
    </w:p>
    <w:p>
      <w:pPr>
        <w:spacing w:after="0" w:line="206" w:lineRule="exact"/>
        <w:rPr>
          <w:rFonts w:ascii="Courier New" w:cs="Courier New" w:eastAsia="Courier New" w:hAnsi="Courier New"/>
          <w:sz w:val="18"/>
          <w:szCs w:val="18"/>
          <w:color w:val="auto"/>
        </w:rPr>
      </w:pPr>
    </w:p>
    <w:p>
      <w:pPr>
        <w:ind w:left="7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left="74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Ameriprise Financial, Inc.</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31, 2005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Steve Turbenson</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3400" w:space="720"/>
            <w:col w:w="6099"/>
          </w:cols>
          <w:pgMar w:left="240" w:top="717" w:right="1440" w:bottom="1440" w:gutter="0" w:footer="0" w:header="0"/>
          <w:type w:val="continuous"/>
        </w:sect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Steve Turbenson</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Director - Fund Administration</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19"/>
          </w:cols>
          <w:pgMar w:left="240" w:top="717" w:right="1440" w:bottom="1440" w:gutter="0" w:footer="0" w:header="0"/>
          <w:type w:val="continuous"/>
        </w:sectPr>
      </w:pPr>
    </w:p>
    <w:p>
      <w:pPr>
        <w:spacing w:after="0" w:line="207"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Telephone: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(612) 671-2059</w:t>
      </w:r>
    </w:p>
    <w:p>
      <w:pPr>
        <w:sectPr>
          <w:pgSz w:w="11900" w:h="16838" w:orient="portrait"/>
          <w:cols w:equalWidth="0" w:num="2">
            <w:col w:w="6240" w:space="720"/>
            <w:col w:w="3259"/>
          </w:cols>
          <w:pgMar w:left="240" w:top="717" w:right="1440" w:bottom="1440" w:gutter="0" w:footer="0" w:header="0"/>
          <w:type w:val="continuous"/>
        </w:sectPr>
      </w:pPr>
    </w:p>
    <w:bookmarkStart w:id="4" w:name="page5"/>
    <w:bookmarkEnd w:id="4"/>
    <w:p>
      <w:pPr>
        <w:ind w:left="242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right="2099" w:hanging="1158"/>
        <w:spacing w:after="0" w:line="290" w:lineRule="auto"/>
        <w:rPr>
          <w:sz w:val="20"/>
          <w:szCs w:val="20"/>
          <w:color w:val="auto"/>
        </w:rPr>
      </w:pPr>
      <w:r>
        <w:rPr>
          <w:rFonts w:ascii="Courier New" w:cs="Courier New" w:eastAsia="Courier New" w:hAnsi="Courier New"/>
          <w:sz w:val="18"/>
          <w:szCs w:val="18"/>
          <w:color w:val="auto"/>
        </w:rPr>
        <w:t>Exhibit I</w:t>
      </w:r>
      <w:r>
        <w:rPr>
          <w:sz w:val="20"/>
          <w:szCs w:val="20"/>
          <w:color w:val="auto"/>
        </w:rPr>
        <w:t xml:space="preserve"> </w:t>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ectPr>
          <w:pgSz w:w="11900" w:h="16838" w:orient="portrait"/>
          <w:cols w:equalWidth="0" w:num="1">
            <w:col w:w="9059"/>
          </w:cols>
          <w:pgMar w:left="1400" w:top="514"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Exhibit 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Ameriprise Financial, Inc., a Delaware Corporation, is a parent holding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classification and identity of the relevant subsidiaries is as follows: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Bank - Ameriprise Trust Company, a trust company organized under the laws of the State of Minnesota</w:t>
      </w:r>
    </w:p>
    <w:p>
      <w:pPr>
        <w:spacing w:after="0" w:line="208"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Investment Company - RiverSource Funds, comprised of investment companies registered under section 8 of the Investment Company Act of 1940</w:t>
      </w:r>
    </w:p>
    <w:p>
      <w:pPr>
        <w:spacing w:after="0" w:line="170"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Investment Adviser - RiverSource Investments, LLC, an investment adviser registered under section 203 of the Investment Advisers Act of 1940.</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9"/>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1)"/>
      <w:numFmt w:val="lowerRoman"/>
      <w:start w:val="1"/>
    </w:lvl>
  </w:abstractNum>
  <w:abstractNum w:abstractNumId="10">
    <w:nsid w:val="3352255A"/>
    <w:multiLevelType w:val="hybridMultilevel"/>
    <w:lvl w:ilvl="0">
      <w:lvlJc w:val="left"/>
      <w:lvlText w:val="5"/>
      <w:numFmt w:val="bullet"/>
      <w:start w:val="1"/>
    </w:lvl>
  </w:abstractNum>
  <w:abstractNum w:abstractNumId="11">
    <w:nsid w:val="109CF92E"/>
    <w:multiLevelType w:val="hybridMultilevel"/>
    <w:lvl w:ilvl="0">
      <w:lvlJc w:val="left"/>
      <w:lvlText w:val="6"/>
      <w:numFmt w:val="bullet"/>
      <w:start w:val="1"/>
    </w:lvl>
  </w:abstractNum>
  <w:abstractNum w:abstractNumId="12">
    <w:nsid w:val="DED7263"/>
    <w:multiLevelType w:val="hybridMultilevel"/>
    <w:lvl w:ilvl="0">
      <w:lvlJc w:val="left"/>
      <w:lvlText w:val="7"/>
      <w:numFmt w:val="bullet"/>
      <w:start w:val="1"/>
    </w:lvl>
  </w:abstractNum>
  <w:abstractNum w:abstractNumId="13">
    <w:nsid w:val="7FDCC233"/>
    <w:multiLevelType w:val="hybridMultilevel"/>
    <w:lvl w:ilvl="0">
      <w:lvlJc w:val="left"/>
      <w:lvlText w:val="8"/>
      <w:numFmt w:val="bullet"/>
      <w:start w:val="1"/>
    </w:lvl>
  </w:abstractNum>
  <w:abstractNum w:abstractNumId="14">
    <w:nsid w:val="1BEFD79F"/>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2020-02-07T01:34:25Z</dcterms:created>
  <dcterms:modified xsi:type="dcterms:W3CDTF">2020-02-07T01:34:25Z</dcterms:modified>
</cp:coreProperties>
</file>