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9700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97002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Gernburd Felix</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40" w:type="dxa"/>
            <w:vAlign w:val="bottom"/>
            <w:tcBorders>
              <w:top w:val="single" w:sz="8" w:color="0000EE"/>
              <w:bottom w:val="single" w:sz="8" w:color="9A9A9A"/>
            </w:tcBorders>
          </w:tcPr>
          <w:p>
            <w:pPr>
              <w:spacing w:after="0"/>
              <w:rPr>
                <w:sz w:val="15"/>
                <w:szCs w:val="15"/>
                <w:color w:val="auto"/>
              </w:rPr>
            </w:pPr>
          </w:p>
        </w:tc>
        <w:tc>
          <w:tcPr>
            <w:tcW w:w="188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10/25/2017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2">
        <w:r>
          <w:rPr>
            <w:rFonts w:ascii="Arial" w:cs="Arial" w:eastAsia="Arial" w:hAnsi="Arial"/>
            <w:sz w:val="19"/>
            <w:szCs w:val="19"/>
            <w:u w:val="single" w:color="auto"/>
            <w:color w:val="0000EE"/>
          </w:rPr>
          <w:t>National Vision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EYE</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418"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4"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1494"/>
        <w:spacing w:after="0" w:line="268" w:lineRule="auto"/>
        <w:rPr>
          <w:sz w:val="20"/>
          <w:szCs w:val="20"/>
          <w:color w:val="auto"/>
        </w:rPr>
      </w:pPr>
      <w:r>
        <w:rPr>
          <w:rFonts w:ascii="Arial" w:cs="Arial" w:eastAsia="Arial" w:hAnsi="Arial"/>
          <w:sz w:val="18"/>
          <w:szCs w:val="18"/>
          <w:color w:val="0000FF"/>
        </w:rPr>
        <w:t>C/O NATIONAL VISION HOLDINGS, INC.,</w:t>
      </w:r>
    </w:p>
    <w:p>
      <w:pPr>
        <w:spacing w:after="0" w:line="24"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2435 COMMERCE AVENUE, BLDG. 2200</w:t>
      </w:r>
    </w:p>
    <w:p>
      <w:pPr>
        <w:spacing w:after="0" w:line="323"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800" w:type="dxa"/>
            <w:vAlign w:val="bottom"/>
          </w:tcPr>
          <w:p>
            <w:pPr>
              <w:spacing w:after="0"/>
              <w:rPr>
                <w:sz w:val="20"/>
                <w:szCs w:val="20"/>
                <w:color w:val="auto"/>
              </w:rPr>
            </w:pPr>
            <w:r>
              <w:rPr>
                <w:rFonts w:ascii="Arial" w:cs="Arial" w:eastAsia="Arial" w:hAnsi="Arial"/>
                <w:sz w:val="14"/>
                <w:szCs w:val="14"/>
                <w:color w:val="auto"/>
              </w:rPr>
              <w:t>(Street)</w:t>
            </w:r>
          </w:p>
        </w:tc>
        <w:tc>
          <w:tcPr>
            <w:tcW w:w="1260" w:type="dxa"/>
            <w:vAlign w:val="bottom"/>
          </w:tcPr>
          <w:p>
            <w:pPr>
              <w:spacing w:after="0"/>
              <w:rPr>
                <w:sz w:val="14"/>
                <w:szCs w:val="14"/>
                <w:color w:val="auto"/>
              </w:rPr>
            </w:pPr>
          </w:p>
        </w:tc>
      </w:tr>
      <w:tr>
        <w:trPr>
          <w:trHeight w:val="242"/>
        </w:trPr>
        <w:tc>
          <w:tcPr>
            <w:tcW w:w="1800" w:type="dxa"/>
            <w:vAlign w:val="bottom"/>
          </w:tcPr>
          <w:p>
            <w:pPr>
              <w:ind w:left="40"/>
              <w:spacing w:after="0"/>
              <w:rPr>
                <w:sz w:val="20"/>
                <w:szCs w:val="20"/>
                <w:color w:val="auto"/>
              </w:rPr>
            </w:pPr>
            <w:r>
              <w:rPr>
                <w:rFonts w:ascii="Arial" w:cs="Arial" w:eastAsia="Arial" w:hAnsi="Arial"/>
                <w:sz w:val="18"/>
                <w:szCs w:val="18"/>
                <w:color w:val="0000FF"/>
                <w:w w:val="92"/>
              </w:rPr>
              <w:t>DULUTHGA</w:t>
            </w:r>
          </w:p>
        </w:tc>
        <w:tc>
          <w:tcPr>
            <w:tcW w:w="1260" w:type="dxa"/>
            <w:vAlign w:val="bottom"/>
          </w:tcPr>
          <w:p>
            <w:pPr>
              <w:jc w:val="right"/>
              <w:spacing w:after="0"/>
              <w:rPr>
                <w:sz w:val="20"/>
                <w:szCs w:val="20"/>
                <w:color w:val="auto"/>
              </w:rPr>
            </w:pPr>
            <w:r>
              <w:rPr>
                <w:rFonts w:ascii="Arial" w:cs="Arial" w:eastAsia="Arial" w:hAnsi="Arial"/>
                <w:sz w:val="18"/>
                <w:szCs w:val="18"/>
                <w:color w:val="0000FF"/>
              </w:rPr>
              <w:t>30096-4980</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338"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66"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125"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3520" w:type="dxa"/>
            <w:vAlign w:val="bottom"/>
          </w:tcPr>
          <w:p>
            <w:pPr>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480" w:type="dxa"/>
            <w:vAlign w:val="bottom"/>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480" w:type="dxa"/>
            <w:vAlign w:val="bottom"/>
          </w:tcPr>
          <w:p>
            <w:pPr>
              <w:ind w:left="100"/>
              <w:spacing w:after="0" w:line="149" w:lineRule="exact"/>
              <w:rPr>
                <w:sz w:val="20"/>
                <w:szCs w:val="20"/>
                <w:color w:val="auto"/>
              </w:rPr>
            </w:pPr>
            <w:r>
              <w:rPr>
                <w:rFonts w:ascii="Arial" w:cs="Arial" w:eastAsia="Arial" w:hAnsi="Arial"/>
                <w:sz w:val="14"/>
                <w:szCs w:val="14"/>
                <w:b w:val="1"/>
                <w:bCs w:val="1"/>
                <w:color w:val="auto"/>
                <w:w w:val="95"/>
              </w:rPr>
              <w:t>Beneficial Ownership</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2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48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352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4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352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480" w:type="dxa"/>
            <w:vAlign w:val="bottom"/>
            <w:vMerge w:val="restart"/>
          </w:tcPr>
          <w:p>
            <w:pPr>
              <w:ind w:left="8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tcPr>
          <w:p>
            <w:pPr>
              <w:ind w:left="8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tcPr>
          <w:p>
            <w:pPr>
              <w:ind w:left="8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240" w:type="dxa"/>
            <w:vAlign w:val="bottom"/>
          </w:tcPr>
          <w:p>
            <w:pPr>
              <w:spacing w:after="0"/>
              <w:rPr>
                <w:sz w:val="12"/>
                <w:szCs w:val="12"/>
                <w:color w:val="auto"/>
              </w:rPr>
            </w:pPr>
          </w:p>
        </w:tc>
        <w:tc>
          <w:tcPr>
            <w:tcW w:w="1480" w:type="dxa"/>
            <w:vAlign w:val="bottom"/>
          </w:tcPr>
          <w:p>
            <w:pPr>
              <w:ind w:left="8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52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24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480" w:type="dxa"/>
            <w:vAlign w:val="bottom"/>
          </w:tcPr>
          <w:p>
            <w:pPr>
              <w:ind w:left="8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right="180"/>
        <w:spacing w:after="0" w:line="233" w:lineRule="auto"/>
        <w:rPr>
          <w:sz w:val="20"/>
          <w:szCs w:val="20"/>
          <w:color w:val="auto"/>
        </w:rPr>
      </w:pPr>
      <w:r>
        <w:rPr>
          <w:rFonts w:ascii="Arial" w:cs="Arial" w:eastAsia="Arial" w:hAnsi="Arial"/>
          <w:sz w:val="14"/>
          <w:szCs w:val="14"/>
          <w:color w:val="008000"/>
        </w:rPr>
        <w:t>Mr. Gernburd, an executive of Kohlberg Kravis Roberts &amp; Co. L.P. ("KKR") and/or one of its affiliates, is a member of the board of directors of National Vision Holdings, Inc. (the "Issuer"). Certain affiliates of KKR have filed separate Forms 3 reporting securities of the Issuer that they may be deemed to beneficially own. Mr. Gernburd disclaims beneficial ownership of any securities of the Issuer that may be deemed to be beneficially owned by affiliates of KKR.</w:t>
      </w:r>
    </w:p>
    <w:p>
      <w:pPr>
        <w:spacing w:after="0" w:line="25"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No securities are beneficially owned.</w:t>
      </w:r>
    </w:p>
    <w:p>
      <w:pPr>
        <w:spacing w:after="0" w:line="54"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300" w:type="dxa"/>
            <w:vAlign w:val="bottom"/>
          </w:tcPr>
          <w:p>
            <w:pPr>
              <w:spacing w:after="0"/>
              <w:rPr>
                <w:sz w:val="20"/>
                <w:szCs w:val="20"/>
                <w:color w:val="auto"/>
              </w:rPr>
            </w:pPr>
            <w:r>
              <w:rPr>
                <w:rFonts w:ascii="Arial" w:cs="Arial" w:eastAsia="Arial" w:hAnsi="Arial"/>
                <w:sz w:val="18"/>
                <w:szCs w:val="18"/>
                <w:color w:val="0000FF"/>
                <w:w w:val="89"/>
              </w:rPr>
              <w:t>/s/ Felix Gernburd</w:t>
            </w:r>
          </w:p>
        </w:tc>
        <w:tc>
          <w:tcPr>
            <w:tcW w:w="82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10/25/2017</w:t>
            </w:r>
          </w:p>
        </w:tc>
      </w:tr>
      <w:tr>
        <w:trPr>
          <w:trHeight w:val="20"/>
        </w:trPr>
        <w:tc>
          <w:tcPr>
            <w:tcW w:w="130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X"/>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719353" TargetMode="External"/><Relationship Id="rId12" Type="http://schemas.openxmlformats.org/officeDocument/2006/relationships/hyperlink" Target="http://www.sec.gov/cgi-bin/browse-edgar?action=getcompany&amp;CIK=00017101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2019-12-04T02:39:29Z</dcterms:created>
  <dcterms:modified xsi:type="dcterms:W3CDTF">2019-12-04T02:39:29Z</dcterms:modified>
</cp:coreProperties>
</file>