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854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85406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FAHS L READE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480"/>
        <w:spacing w:after="0" w:line="375"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National Vision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EYE</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42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600" w:type="dxa"/>
            <w:vAlign w:val="bottom"/>
            <w:gridSpan w:val="3"/>
          </w:tcPr>
          <w:p>
            <w:pPr>
              <w:ind w:left="60"/>
              <w:spacing w:after="0"/>
              <w:rPr>
                <w:sz w:val="20"/>
                <w:szCs w:val="20"/>
                <w:color w:val="auto"/>
              </w:rPr>
            </w:pPr>
            <w:r>
              <w:rPr>
                <w:rFonts w:ascii="Arial" w:cs="Arial" w:eastAsia="Arial" w:hAnsi="Arial"/>
                <w:sz w:val="17"/>
                <w:szCs w:val="17"/>
                <w:color w:val="0000FF"/>
              </w:rPr>
              <w:t>03/02/2023</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ind w:left="36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59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03/02/2023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58"/>
              <w:spacing w:after="0"/>
              <w:rPr>
                <w:sz w:val="20"/>
                <w:szCs w:val="20"/>
                <w:color w:val="auto"/>
              </w:rPr>
            </w:pPr>
            <w:r>
              <w:rPr>
                <w:rFonts w:ascii="Arial" w:cs="Arial" w:eastAsia="Arial" w:hAnsi="Arial"/>
                <w:sz w:val="13"/>
                <w:szCs w:val="13"/>
                <w:color w:val="0000FF"/>
                <w:w w:val="91"/>
              </w:rPr>
              <w:t>M</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0000FF"/>
                <w:w w:val="88"/>
              </w:rPr>
              <w:t>14,217</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528,394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590"/>
              <w:spacing w:after="0"/>
              <w:rPr>
                <w:sz w:val="20"/>
                <w:szCs w:val="20"/>
                <w:color w:val="auto"/>
              </w:rPr>
            </w:pPr>
            <w:r>
              <w:rPr>
                <w:rFonts w:ascii="Arial" w:cs="Arial" w:eastAsia="Arial" w:hAnsi="Arial"/>
                <w:sz w:val="17"/>
                <w:szCs w:val="17"/>
                <w:color w:val="0000FF"/>
                <w:w w:val="89"/>
              </w:rPr>
              <w:t>03/02/2023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58"/>
              <w:spacing w:after="0"/>
              <w:rPr>
                <w:sz w:val="20"/>
                <w:szCs w:val="20"/>
                <w:color w:val="auto"/>
              </w:rPr>
            </w:pPr>
            <w:r>
              <w:rPr>
                <w:rFonts w:ascii="Arial" w:cs="Arial" w:eastAsia="Arial" w:hAnsi="Arial"/>
                <w:sz w:val="13"/>
                <w:szCs w:val="13"/>
                <w:color w:val="0000FF"/>
                <w:w w:val="74"/>
              </w:rPr>
              <w:t>F</w:t>
            </w:r>
          </w:p>
        </w:tc>
        <w:tc>
          <w:tcPr>
            <w:tcW w:w="160" w:type="dxa"/>
            <w:vAlign w:val="bottom"/>
          </w:tcPr>
          <w:p>
            <w:pPr>
              <w:spacing w:after="0"/>
              <w:rPr>
                <w:sz w:val="22"/>
                <w:szCs w:val="22"/>
                <w:color w:val="auto"/>
              </w:rPr>
            </w:pPr>
          </w:p>
        </w:tc>
        <w:tc>
          <w:tcPr>
            <w:tcW w:w="580" w:type="dxa"/>
            <w:vAlign w:val="bottom"/>
          </w:tcPr>
          <w:p>
            <w:pPr>
              <w:jc w:val="center"/>
              <w:ind w:left="131"/>
              <w:spacing w:after="0"/>
              <w:rPr>
                <w:sz w:val="20"/>
                <w:szCs w:val="20"/>
                <w:color w:val="auto"/>
              </w:rPr>
            </w:pPr>
            <w:r>
              <w:rPr>
                <w:rFonts w:ascii="Arial" w:cs="Arial" w:eastAsia="Arial" w:hAnsi="Arial"/>
                <w:sz w:val="17"/>
                <w:szCs w:val="17"/>
                <w:color w:val="0000FF"/>
                <w:w w:val="89"/>
              </w:rPr>
              <w:t>6,412</w:t>
            </w:r>
          </w:p>
        </w:tc>
        <w:tc>
          <w:tcPr>
            <w:tcW w:w="10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21"/>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jc w:val="right"/>
              <w:ind w:right="281"/>
              <w:spacing w:after="0"/>
              <w:rPr>
                <w:sz w:val="20"/>
                <w:szCs w:val="20"/>
                <w:color w:val="auto"/>
              </w:rPr>
            </w:pPr>
            <w:r>
              <w:rPr>
                <w:rFonts w:ascii="Arial" w:cs="Arial" w:eastAsia="Arial" w:hAnsi="Arial"/>
                <w:sz w:val="17"/>
                <w:szCs w:val="17"/>
                <w:color w:val="0000FF"/>
              </w:rPr>
              <w:t>521,982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03/02/2023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58"/>
              <w:spacing w:after="0"/>
              <w:rPr>
                <w:sz w:val="20"/>
                <w:szCs w:val="20"/>
                <w:color w:val="auto"/>
              </w:rPr>
            </w:pPr>
            <w:r>
              <w:rPr>
                <w:rFonts w:ascii="Arial" w:cs="Arial" w:eastAsia="Arial" w:hAnsi="Arial"/>
                <w:sz w:val="13"/>
                <w:szCs w:val="13"/>
                <w:color w:val="0000FF"/>
                <w:w w:val="91"/>
              </w:rPr>
              <w:t>M</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0000FF"/>
                <w:w w:val="83"/>
              </w:rPr>
              <w:t>34,947</w:t>
            </w:r>
            <w:r>
              <w:rPr>
                <w:rFonts w:ascii="Arial" w:cs="Arial" w:eastAsia="Arial" w:hAnsi="Arial"/>
                <w:sz w:val="21"/>
                <w:szCs w:val="21"/>
                <w:color w:val="008000"/>
                <w:w w:val="83"/>
                <w:vertAlign w:val="superscript"/>
              </w:rPr>
              <w:t>(3)</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(4)</w:t>
            </w:r>
          </w:p>
        </w:tc>
        <w:tc>
          <w:tcPr>
            <w:tcW w:w="132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556,929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590"/>
              <w:spacing w:after="0"/>
              <w:rPr>
                <w:sz w:val="20"/>
                <w:szCs w:val="20"/>
                <w:color w:val="auto"/>
              </w:rPr>
            </w:pPr>
            <w:r>
              <w:rPr>
                <w:rFonts w:ascii="Arial" w:cs="Arial" w:eastAsia="Arial" w:hAnsi="Arial"/>
                <w:sz w:val="17"/>
                <w:szCs w:val="17"/>
                <w:color w:val="0000FF"/>
                <w:w w:val="89"/>
              </w:rPr>
              <w:t>03/02/2023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58"/>
              <w:spacing w:after="0"/>
              <w:rPr>
                <w:sz w:val="20"/>
                <w:szCs w:val="20"/>
                <w:color w:val="auto"/>
              </w:rPr>
            </w:pPr>
            <w:r>
              <w:rPr>
                <w:rFonts w:ascii="Arial" w:cs="Arial" w:eastAsia="Arial" w:hAnsi="Arial"/>
                <w:sz w:val="13"/>
                <w:szCs w:val="13"/>
                <w:color w:val="0000FF"/>
                <w:w w:val="74"/>
              </w:rPr>
              <w:t>F</w:t>
            </w:r>
          </w:p>
        </w:tc>
        <w:tc>
          <w:tcPr>
            <w:tcW w:w="160" w:type="dxa"/>
            <w:vAlign w:val="bottom"/>
          </w:tcPr>
          <w:p>
            <w:pPr>
              <w:spacing w:after="0"/>
              <w:rPr>
                <w:sz w:val="22"/>
                <w:szCs w:val="22"/>
                <w:color w:val="auto"/>
              </w:rPr>
            </w:pPr>
          </w:p>
        </w:tc>
        <w:tc>
          <w:tcPr>
            <w:tcW w:w="680" w:type="dxa"/>
            <w:vAlign w:val="bottom"/>
            <w:gridSpan w:val="2"/>
          </w:tcPr>
          <w:p>
            <w:pPr>
              <w:jc w:val="center"/>
              <w:ind w:left="31"/>
              <w:spacing w:after="0"/>
              <w:rPr>
                <w:sz w:val="20"/>
                <w:szCs w:val="20"/>
                <w:color w:val="auto"/>
              </w:rPr>
            </w:pPr>
            <w:r>
              <w:rPr>
                <w:rFonts w:ascii="Arial" w:cs="Arial" w:eastAsia="Arial" w:hAnsi="Arial"/>
                <w:sz w:val="17"/>
                <w:szCs w:val="17"/>
                <w:color w:val="0000FF"/>
                <w:w w:val="88"/>
              </w:rPr>
              <w:t>15,762</w:t>
            </w:r>
          </w:p>
        </w:tc>
        <w:tc>
          <w:tcPr>
            <w:tcW w:w="540" w:type="dxa"/>
            <w:vAlign w:val="bottom"/>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21"/>
              <w:spacing w:after="0"/>
              <w:rPr>
                <w:sz w:val="20"/>
                <w:szCs w:val="20"/>
                <w:color w:val="auto"/>
              </w:rPr>
            </w:pPr>
            <w:r>
              <w:rPr>
                <w:rFonts w:ascii="Arial" w:cs="Arial" w:eastAsia="Arial" w:hAnsi="Arial"/>
                <w:sz w:val="11"/>
                <w:szCs w:val="11"/>
                <w:color w:val="008000"/>
              </w:rPr>
              <w:t>(5)</w:t>
            </w:r>
          </w:p>
        </w:tc>
        <w:tc>
          <w:tcPr>
            <w:tcW w:w="40" w:type="dxa"/>
            <w:vAlign w:val="bottom"/>
          </w:tcPr>
          <w:p>
            <w:pPr>
              <w:spacing w:after="0"/>
              <w:rPr>
                <w:sz w:val="22"/>
                <w:szCs w:val="22"/>
                <w:color w:val="auto"/>
              </w:rPr>
            </w:pPr>
          </w:p>
        </w:tc>
        <w:tc>
          <w:tcPr>
            <w:tcW w:w="1320" w:type="dxa"/>
            <w:vAlign w:val="bottom"/>
            <w:gridSpan w:val="3"/>
          </w:tcPr>
          <w:p>
            <w:pPr>
              <w:jc w:val="right"/>
              <w:ind w:right="281"/>
              <w:spacing w:after="0"/>
              <w:rPr>
                <w:sz w:val="20"/>
                <w:szCs w:val="20"/>
                <w:color w:val="auto"/>
              </w:rPr>
            </w:pPr>
            <w:r>
              <w:rPr>
                <w:rFonts w:ascii="Arial" w:cs="Arial" w:eastAsia="Arial" w:hAnsi="Arial"/>
                <w:sz w:val="17"/>
                <w:szCs w:val="17"/>
                <w:color w:val="0000FF"/>
              </w:rPr>
              <w:t>541,167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right"/>
              <w:ind w:right="281"/>
              <w:spacing w:after="0"/>
              <w:rPr>
                <w:sz w:val="20"/>
                <w:szCs w:val="20"/>
                <w:color w:val="auto"/>
              </w:rPr>
            </w:pPr>
            <w:r>
              <w:rPr>
                <w:rFonts w:ascii="Arial" w:cs="Arial" w:eastAsia="Arial" w:hAnsi="Arial"/>
                <w:sz w:val="17"/>
                <w:szCs w:val="17"/>
                <w:color w:val="0000FF"/>
              </w:rPr>
              <w:t>363,430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(6)</w:t>
            </w: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14,217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03/02/2023</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25" w:lineRule="exact"/>
              <w:rPr>
                <w:sz w:val="20"/>
                <w:szCs w:val="20"/>
                <w:color w:val="auto"/>
              </w:rPr>
            </w:pPr>
            <w:r>
              <w:rPr>
                <w:rFonts w:ascii="Arial" w:cs="Arial" w:eastAsia="Arial" w:hAnsi="Arial"/>
                <w:sz w:val="13"/>
                <w:szCs w:val="13"/>
                <w:color w:val="0000FF"/>
              </w:rPr>
              <w:t>14,217</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38,472</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4" w:lineRule="exact"/>
        <w:rPr>
          <w:rFonts w:ascii="Arial" w:cs="Arial" w:eastAsia="Arial" w:hAnsi="Arial"/>
          <w:sz w:val="13"/>
          <w:szCs w:val="13"/>
          <w:color w:val="008000"/>
        </w:rPr>
      </w:pPr>
    </w:p>
    <w:p>
      <w:pPr>
        <w:ind w:left="40" w:right="5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2023, 14,217 restricted stock units vested and 6,412 shares of the Company's common stock were withheld to satisfy tax withholding obligations. The closing price on March 2, 2023 of the Company's common stock on NASDAQ was $22.88 per share.</w:t>
      </w:r>
    </w:p>
    <w:p>
      <w:pPr>
        <w:spacing w:after="0" w:line="25" w:lineRule="exact"/>
        <w:rPr>
          <w:rFonts w:ascii="Arial" w:cs="Arial" w:eastAsia="Arial" w:hAnsi="Arial"/>
          <w:sz w:val="13"/>
          <w:szCs w:val="13"/>
          <w:color w:val="008000"/>
        </w:rPr>
      </w:pPr>
    </w:p>
    <w:p>
      <w:pPr>
        <w:ind w:left="40" w:right="22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earned by the reporting person pursuant to certain performance restricted stock units (the "PSUs"), which were granted to the reporting person on February 28, 2020. The PSUs were earned based on the attainment of certain performance metrics, which performance metrics were certified by the Compensation Committee of the Board of Directors of the Company on March 2, 2023.</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performance restricted stock unit represents a right to receive one share of NVHI common stock.</w:t>
      </w:r>
    </w:p>
    <w:p>
      <w:pPr>
        <w:spacing w:after="0" w:line="44" w:lineRule="exact"/>
        <w:rPr>
          <w:rFonts w:ascii="Arial" w:cs="Arial" w:eastAsia="Arial" w:hAnsi="Arial"/>
          <w:sz w:val="13"/>
          <w:szCs w:val="13"/>
          <w:color w:val="008000"/>
        </w:rPr>
      </w:pPr>
    </w:p>
    <w:p>
      <w:pPr>
        <w:ind w:left="40" w:right="6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2023, 34,947 PSUs vested and 15,762 shares of the Company's common stock were withheld to satisfy tax withholding obligations. The closing price on March 2, 2023 of the Company's common stock on NASDAQ was $22.88 per share.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2022, the reporting person was granted 14,217 restricted stock units, vesting in three equal annual installments beginning on the first anniversary of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5"/>
              </w:rPr>
              <w:t>/s/ Jared Brandman, as</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03/06/2023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125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2023-03-06T18:39:38Z</dcterms:created>
  <dcterms:modified xsi:type="dcterms:W3CDTF">2023-03-06T18:39:38Z</dcterms:modified>
</cp:coreProperties>
</file>