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As filed with the Securities and Exchange Commission on July 23, 2018</w:t>
      </w:r>
    </w:p>
    <w:p>
      <w:pPr>
        <w:spacing w:after="0" w:line="27" w:lineRule="exact"/>
        <w:rPr>
          <w:sz w:val="24"/>
          <w:szCs w:val="24"/>
          <w:color w:val="auto"/>
        </w:rPr>
      </w:pPr>
    </w:p>
    <w:p>
      <w:pPr>
        <w:ind w:left="7667"/>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0"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UNITED STATES</w:t>
      </w:r>
    </w:p>
    <w:p>
      <w:pPr>
        <w:jc w:val="center"/>
        <w:ind w:right="-6"/>
        <w:spacing w:after="0" w:line="206" w:lineRule="auto"/>
        <w:rPr>
          <w:sz w:val="20"/>
          <w:szCs w:val="20"/>
          <w:color w:val="auto"/>
        </w:rPr>
      </w:pPr>
      <w:r>
        <w:rPr>
          <w:rFonts w:ascii="Arial" w:cs="Arial" w:eastAsia="Arial" w:hAnsi="Arial"/>
          <w:sz w:val="18"/>
          <w:szCs w:val="18"/>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69215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2"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FORM S-1</w:t>
      </w:r>
    </w:p>
    <w:p>
      <w:pPr>
        <w:jc w:val="center"/>
        <w:ind w:right="-6"/>
        <w:spacing w:after="0" w:line="233" w:lineRule="auto"/>
        <w:rPr>
          <w:sz w:val="20"/>
          <w:szCs w:val="20"/>
          <w:color w:val="auto"/>
        </w:rPr>
      </w:pPr>
      <w:r>
        <w:rPr>
          <w:rFonts w:ascii="Arial" w:cs="Arial" w:eastAsia="Arial" w:hAnsi="Arial"/>
          <w:sz w:val="20"/>
          <w:szCs w:val="20"/>
          <w:b w:val="1"/>
          <w:bCs w:val="1"/>
          <w:color w:val="auto"/>
        </w:rPr>
        <w:t>REGISTRATION STATEMENT</w:t>
      </w:r>
    </w:p>
    <w:p>
      <w:pPr>
        <w:jc w:val="center"/>
        <w:ind w:right="-6"/>
        <w:spacing w:after="0" w:line="226" w:lineRule="auto"/>
        <w:rPr>
          <w:sz w:val="20"/>
          <w:szCs w:val="20"/>
          <w:color w:val="auto"/>
        </w:rPr>
      </w:pPr>
      <w:r>
        <w:rPr>
          <w:rFonts w:ascii="Arial" w:cs="Arial" w:eastAsia="Arial" w:hAnsi="Arial"/>
          <w:sz w:val="20"/>
          <w:szCs w:val="20"/>
          <w:b w:val="1"/>
          <w:bCs w:val="1"/>
          <w:color w:val="auto"/>
        </w:rPr>
        <w:t>UNDER</w:t>
      </w:r>
    </w:p>
    <w:p>
      <w:pPr>
        <w:jc w:val="center"/>
        <w:ind w:right="-6"/>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69215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9"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jc w:val="center"/>
        <w:ind w:right="-6"/>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587" w:type="dxa"/>
        <w:tblCellMar>
          <w:top w:w="0" w:type="dxa"/>
          <w:left w:w="0" w:type="dxa"/>
          <w:bottom w:w="0" w:type="dxa"/>
          <w:right w:w="0" w:type="dxa"/>
        </w:tblCellMar>
      </w:tblPr>
      <w:tr>
        <w:trPr>
          <w:trHeight w:val="186"/>
        </w:trPr>
        <w:tc>
          <w:tcPr>
            <w:tcW w:w="254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248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6"/>
              </w:rPr>
              <w:t>3851</w:t>
            </w:r>
          </w:p>
        </w:tc>
        <w:tc>
          <w:tcPr>
            <w:tcW w:w="840" w:type="dxa"/>
            <w:vAlign w:val="bottom"/>
          </w:tcPr>
          <w:p>
            <w:pPr>
              <w:spacing w:after="0"/>
              <w:rPr>
                <w:sz w:val="16"/>
                <w:szCs w:val="16"/>
                <w:color w:val="auto"/>
              </w:rPr>
            </w:pPr>
          </w:p>
        </w:tc>
        <w:tc>
          <w:tcPr>
            <w:tcW w:w="2260" w:type="dxa"/>
            <w:vAlign w:val="bottom"/>
          </w:tcPr>
          <w:p>
            <w:pPr>
              <w:jc w:val="center"/>
              <w:ind w:left="768"/>
              <w:spacing w:after="0"/>
              <w:rPr>
                <w:sz w:val="20"/>
                <w:szCs w:val="20"/>
                <w:color w:val="auto"/>
              </w:rPr>
            </w:pPr>
            <w:r>
              <w:rPr>
                <w:rFonts w:ascii="Arial" w:cs="Arial" w:eastAsia="Arial" w:hAnsi="Arial"/>
                <w:sz w:val="14"/>
                <w:szCs w:val="14"/>
                <w:b w:val="1"/>
                <w:bCs w:val="1"/>
                <w:color w:val="auto"/>
                <w:w w:val="93"/>
              </w:rPr>
              <w:t>46-4841717</w:t>
            </w:r>
          </w:p>
        </w:tc>
      </w:tr>
      <w:tr>
        <w:trPr>
          <w:trHeight w:val="165"/>
        </w:trPr>
        <w:tc>
          <w:tcPr>
            <w:tcW w:w="254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(Primary Standard Industrial</w:t>
            </w:r>
          </w:p>
        </w:tc>
        <w:tc>
          <w:tcPr>
            <w:tcW w:w="2260" w:type="dxa"/>
            <w:vAlign w:val="bottom"/>
          </w:tcPr>
          <w:p>
            <w:pPr>
              <w:jc w:val="center"/>
              <w:ind w:left="7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incorporation or organization)</w:t>
            </w:r>
          </w:p>
        </w:tc>
        <w:tc>
          <w:tcPr>
            <w:tcW w:w="3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768"/>
              <w:spacing w:after="0"/>
              <w:rPr>
                <w:sz w:val="20"/>
                <w:szCs w:val="20"/>
                <w:color w:val="auto"/>
              </w:rPr>
            </w:pPr>
            <w:r>
              <w:rPr>
                <w:rFonts w:ascii="Arial" w:cs="Arial" w:eastAsia="Arial" w:hAnsi="Arial"/>
                <w:sz w:val="14"/>
                <w:szCs w:val="14"/>
                <w:b w:val="1"/>
                <w:bCs w:val="1"/>
                <w:color w:val="auto"/>
                <w:w w:val="95"/>
              </w:rPr>
              <w:t>Identification Number)</w:t>
            </w:r>
          </w:p>
        </w:tc>
      </w:tr>
      <w:tr>
        <w:trPr>
          <w:trHeight w:val="107"/>
        </w:trPr>
        <w:tc>
          <w:tcPr>
            <w:tcW w:w="2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60" w:type="dxa"/>
            <w:vAlign w:val="bottom"/>
          </w:tcPr>
          <w:p>
            <w:pPr>
              <w:spacing w:after="0"/>
              <w:rPr>
                <w:sz w:val="9"/>
                <w:szCs w:val="9"/>
                <w:color w:val="auto"/>
              </w:rPr>
            </w:pPr>
          </w:p>
        </w:tc>
      </w:tr>
    </w:tbl>
    <w:p>
      <w:pPr>
        <w:spacing w:after="0" w:line="153"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770-822-3600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64770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9"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Mitchell Goodman, Esq.</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770-822-4208</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73660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66" w:lineRule="exact"/>
        <w:rPr>
          <w:sz w:val="24"/>
          <w:szCs w:val="24"/>
          <w:color w:val="auto"/>
        </w:rPr>
      </w:pPr>
    </w:p>
    <w:tbl>
      <w:tblPr>
        <w:tblLayout w:type="fixed"/>
        <w:tblInd w:w="1327"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4220" w:type="dxa"/>
            <w:vAlign w:val="bottom"/>
            <w:gridSpan w:val="2"/>
          </w:tcPr>
          <w:p>
            <w:pPr>
              <w:ind w:left="38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05"/>
        </w:trPr>
        <w:tc>
          <w:tcPr>
            <w:tcW w:w="2640" w:type="dxa"/>
            <w:vAlign w:val="bottom"/>
          </w:tcPr>
          <w:p>
            <w:pPr>
              <w:ind w:left="180"/>
              <w:spacing w:after="0"/>
              <w:rPr>
                <w:sz w:val="20"/>
                <w:szCs w:val="20"/>
                <w:color w:val="auto"/>
              </w:rPr>
            </w:pPr>
            <w:r>
              <w:rPr>
                <w:rFonts w:ascii="Arial" w:cs="Arial" w:eastAsia="Arial" w:hAnsi="Arial"/>
                <w:sz w:val="14"/>
                <w:szCs w:val="14"/>
                <w:b w:val="1"/>
                <w:bCs w:val="1"/>
                <w:color w:val="auto"/>
              </w:rPr>
              <w:t>Joseph H. Kaufman, Esq.</w:t>
            </w:r>
          </w:p>
        </w:tc>
        <w:tc>
          <w:tcPr>
            <w:tcW w:w="1640" w:type="dxa"/>
            <w:vAlign w:val="bottom"/>
          </w:tcPr>
          <w:p>
            <w:pPr>
              <w:spacing w:after="0"/>
              <w:rPr>
                <w:sz w:val="17"/>
                <w:szCs w:val="17"/>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Marc D. Jaffe, Esq.</w:t>
            </w:r>
          </w:p>
        </w:tc>
      </w:tr>
      <w:tr>
        <w:trPr>
          <w:trHeight w:val="162"/>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5"/>
              </w:rPr>
              <w:t>Simpson Thacher &amp; Bartlett LLP</w:t>
            </w:r>
          </w:p>
        </w:tc>
        <w:tc>
          <w:tcPr>
            <w:tcW w:w="1640" w:type="dxa"/>
            <w:vAlign w:val="bottom"/>
          </w:tcPr>
          <w:p>
            <w:pPr>
              <w:spacing w:after="0"/>
              <w:rPr>
                <w:sz w:val="14"/>
                <w:szCs w:val="14"/>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Ian D. Schuman, Esq.</w:t>
            </w:r>
          </w:p>
        </w:tc>
      </w:tr>
      <w:tr>
        <w:trPr>
          <w:trHeight w:val="145"/>
        </w:trPr>
        <w:tc>
          <w:tcPr>
            <w:tcW w:w="2640" w:type="dxa"/>
            <w:vAlign w:val="bottom"/>
          </w:tcPr>
          <w:p>
            <w:pPr>
              <w:jc w:val="center"/>
              <w:ind w:right="488"/>
              <w:spacing w:after="0" w:line="145" w:lineRule="exact"/>
              <w:rPr>
                <w:sz w:val="20"/>
                <w:szCs w:val="20"/>
                <w:color w:val="auto"/>
              </w:rPr>
            </w:pPr>
            <w:r>
              <w:rPr>
                <w:rFonts w:ascii="Arial" w:cs="Arial" w:eastAsia="Arial" w:hAnsi="Arial"/>
                <w:sz w:val="14"/>
                <w:szCs w:val="14"/>
                <w:b w:val="1"/>
                <w:bCs w:val="1"/>
                <w:color w:val="auto"/>
                <w:w w:val="91"/>
              </w:rPr>
              <w:t>425 Lexington Avenue</w:t>
            </w:r>
          </w:p>
        </w:tc>
        <w:tc>
          <w:tcPr>
            <w:tcW w:w="1640" w:type="dxa"/>
            <w:vAlign w:val="bottom"/>
          </w:tcPr>
          <w:p>
            <w:pPr>
              <w:spacing w:after="0"/>
              <w:rPr>
                <w:sz w:val="12"/>
                <w:szCs w:val="12"/>
                <w:color w:val="auto"/>
              </w:rPr>
            </w:pPr>
          </w:p>
        </w:tc>
        <w:tc>
          <w:tcPr>
            <w:tcW w:w="2580" w:type="dxa"/>
            <w:vAlign w:val="bottom"/>
          </w:tcPr>
          <w:p>
            <w:pPr>
              <w:jc w:val="center"/>
              <w:ind w:left="490"/>
              <w:spacing w:after="0" w:line="145" w:lineRule="exact"/>
              <w:rPr>
                <w:sz w:val="20"/>
                <w:szCs w:val="20"/>
                <w:color w:val="auto"/>
              </w:rPr>
            </w:pPr>
            <w:r>
              <w:rPr>
                <w:rFonts w:ascii="Arial" w:cs="Arial" w:eastAsia="Arial" w:hAnsi="Arial"/>
                <w:sz w:val="14"/>
                <w:szCs w:val="14"/>
                <w:b w:val="1"/>
                <w:bCs w:val="1"/>
                <w:color w:val="auto"/>
                <w:w w:val="98"/>
              </w:rPr>
              <w:t>Latham &amp; Watkins LLP</w:t>
            </w:r>
          </w:p>
        </w:tc>
      </w:tr>
      <w:tr>
        <w:trPr>
          <w:trHeight w:val="179"/>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4"/>
              </w:rPr>
              <w:t>New York, New York 10017-3954</w:t>
            </w:r>
          </w:p>
        </w:tc>
        <w:tc>
          <w:tcPr>
            <w:tcW w:w="1640" w:type="dxa"/>
            <w:vAlign w:val="bottom"/>
          </w:tcPr>
          <w:p>
            <w:pPr>
              <w:spacing w:after="0"/>
              <w:rPr>
                <w:sz w:val="15"/>
                <w:szCs w:val="15"/>
                <w:color w:val="auto"/>
              </w:rPr>
            </w:pPr>
          </w:p>
        </w:tc>
        <w:tc>
          <w:tcPr>
            <w:tcW w:w="2580" w:type="dxa"/>
            <w:vAlign w:val="bottom"/>
          </w:tcPr>
          <w:p>
            <w:pPr>
              <w:jc w:val="center"/>
              <w:ind w:left="490"/>
              <w:spacing w:after="0" w:line="179" w:lineRule="exact"/>
              <w:rPr>
                <w:sz w:val="20"/>
                <w:szCs w:val="20"/>
                <w:color w:val="auto"/>
              </w:rPr>
            </w:pPr>
            <w:r>
              <w:rPr>
                <w:rFonts w:ascii="Arial" w:cs="Arial" w:eastAsia="Arial" w:hAnsi="Arial"/>
                <w:sz w:val="12"/>
                <w:szCs w:val="12"/>
                <w:b w:val="1"/>
                <w:bCs w:val="1"/>
                <w:color w:val="auto"/>
              </w:rPr>
              <w:t>885 3</w:t>
            </w:r>
            <w:r>
              <w:rPr>
                <w:rFonts w:ascii="Arial" w:cs="Arial" w:eastAsia="Arial" w:hAnsi="Arial"/>
                <w:sz w:val="20"/>
                <w:szCs w:val="20"/>
                <w:b w:val="1"/>
                <w:bCs w:val="1"/>
                <w:color w:val="auto"/>
                <w:vertAlign w:val="superscript"/>
              </w:rPr>
              <w:t>rd</w:t>
            </w:r>
            <w:r>
              <w:rPr>
                <w:rFonts w:ascii="Arial" w:cs="Arial" w:eastAsia="Arial" w:hAnsi="Arial"/>
                <w:sz w:val="12"/>
                <w:szCs w:val="12"/>
                <w:b w:val="1"/>
                <w:bCs w:val="1"/>
                <w:color w:val="auto"/>
              </w:rPr>
              <w:t xml:space="preserve"> Avenue</w:t>
            </w:r>
          </w:p>
        </w:tc>
      </w:tr>
      <w:tr>
        <w:trPr>
          <w:trHeight w:val="162"/>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3"/>
              </w:rPr>
              <w:t>(212) 455-2000</w:t>
            </w:r>
          </w:p>
        </w:tc>
        <w:tc>
          <w:tcPr>
            <w:tcW w:w="1640" w:type="dxa"/>
            <w:vAlign w:val="bottom"/>
          </w:tcPr>
          <w:p>
            <w:pPr>
              <w:spacing w:after="0"/>
              <w:rPr>
                <w:sz w:val="14"/>
                <w:szCs w:val="14"/>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New York, New York 10022-4834</w:t>
            </w:r>
          </w:p>
        </w:tc>
      </w:tr>
      <w:tr>
        <w:trPr>
          <w:trHeight w:val="186"/>
        </w:trPr>
        <w:tc>
          <w:tcPr>
            <w:tcW w:w="2640" w:type="dxa"/>
            <w:vAlign w:val="bottom"/>
          </w:tcPr>
          <w:p>
            <w:pPr>
              <w:spacing w:after="0"/>
              <w:rPr>
                <w:sz w:val="16"/>
                <w:szCs w:val="16"/>
                <w:color w:val="auto"/>
              </w:rPr>
            </w:pPr>
          </w:p>
        </w:tc>
        <w:tc>
          <w:tcPr>
            <w:tcW w:w="4220" w:type="dxa"/>
            <w:vAlign w:val="bottom"/>
            <w:gridSpan w:val="2"/>
          </w:tcPr>
          <w:p>
            <w:pPr>
              <w:jc w:val="center"/>
              <w:ind w:left="2128"/>
              <w:spacing w:after="0"/>
              <w:rPr>
                <w:sz w:val="20"/>
                <w:szCs w:val="20"/>
                <w:color w:val="auto"/>
              </w:rPr>
            </w:pPr>
            <w:r>
              <w:rPr>
                <w:rFonts w:ascii="Arial" w:cs="Arial" w:eastAsia="Arial" w:hAnsi="Arial"/>
                <w:sz w:val="14"/>
                <w:szCs w:val="14"/>
                <w:b w:val="1"/>
                <w:bCs w:val="1"/>
                <w:color w:val="auto"/>
                <w:w w:val="93"/>
              </w:rPr>
              <w:t>(212) 906-1200</w:t>
            </w:r>
          </w:p>
        </w:tc>
      </w:tr>
      <w:tr>
        <w:trPr>
          <w:trHeight w:val="107"/>
        </w:trPr>
        <w:tc>
          <w:tcPr>
            <w:tcW w:w="264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r>
    </w:tbl>
    <w:p>
      <w:pPr>
        <w:spacing w:after="0" w:line="153" w:lineRule="exact"/>
        <w:rPr>
          <w:sz w:val="24"/>
          <w:szCs w:val="24"/>
          <w:color w:val="auto"/>
        </w:rPr>
      </w:pPr>
    </w:p>
    <w:p>
      <w:pPr>
        <w:ind w:left="367"/>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71" w:lineRule="exact"/>
        <w:rPr>
          <w:sz w:val="24"/>
          <w:szCs w:val="24"/>
          <w:color w:val="auto"/>
        </w:rPr>
      </w:pPr>
    </w:p>
    <w:p>
      <w:pPr>
        <w:ind w:left="7" w:right="120" w:firstLine="360"/>
        <w:spacing w:after="0" w:line="27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66" w:lineRule="exact"/>
        <w:rPr>
          <w:sz w:val="24"/>
          <w:szCs w:val="24"/>
          <w:color w:val="auto"/>
        </w:rPr>
      </w:pPr>
    </w:p>
    <w:p>
      <w:pPr>
        <w:ind w:left="7" w:right="40" w:firstLine="360"/>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660" w:firstLine="360"/>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640" w:firstLine="360"/>
        <w:spacing w:after="0" w:line="27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20" w:firstLine="36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7"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360"/>
              <w:spacing w:after="0"/>
              <w:rPr>
                <w:sz w:val="20"/>
                <w:szCs w:val="20"/>
                <w:color w:val="auto"/>
              </w:rPr>
            </w:pPr>
            <w:r>
              <w:rPr>
                <w:rFonts w:ascii="Arial" w:cs="Arial" w:eastAsia="Arial" w:hAnsi="Arial"/>
                <w:sz w:val="14"/>
                <w:szCs w:val="14"/>
                <w:color w:val="auto"/>
              </w:rPr>
              <w:t>o</w:t>
            </w:r>
          </w:p>
        </w:tc>
        <w:tc>
          <w:tcPr>
            <w:tcW w:w="26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187"/>
        </w:trPr>
        <w:tc>
          <w:tcPr>
            <w:tcW w:w="1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bl>
    <w:p>
      <w:pPr>
        <w:spacing w:after="0" w:line="47" w:lineRule="exact"/>
        <w:rPr>
          <w:sz w:val="24"/>
          <w:szCs w:val="24"/>
          <w:color w:val="auto"/>
        </w:rPr>
      </w:pPr>
    </w:p>
    <w:p>
      <w:pPr>
        <w:ind w:left="7" w:right="200" w:firstLine="3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113665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CALCULATION OF REGISTRATION FEE</w:t>
      </w:r>
    </w:p>
    <w:p>
      <w:pPr>
        <w:spacing w:after="0" w:line="25" w:lineRule="exact"/>
        <w:rPr>
          <w:sz w:val="24"/>
          <w:szCs w:val="24"/>
          <w:color w:val="auto"/>
        </w:rPr>
      </w:pPr>
    </w:p>
    <w:tbl>
      <w:tblPr>
        <w:tblLayout w:type="fixed"/>
        <w:tblInd w:w="7" w:type="dxa"/>
        <w:tblCellMar>
          <w:top w:w="0" w:type="dxa"/>
          <w:left w:w="0" w:type="dxa"/>
          <w:bottom w:w="0" w:type="dxa"/>
          <w:right w:w="0" w:type="dxa"/>
        </w:tblCellMar>
      </w:tblPr>
      <w:tr>
        <w:trPr>
          <w:trHeight w:val="172"/>
        </w:trPr>
        <w:tc>
          <w:tcPr>
            <w:tcW w:w="3440" w:type="dxa"/>
            <w:vAlign w:val="bottom"/>
            <w:tcBorders>
              <w:top w:val="single" w:sz="8" w:color="auto"/>
              <w:right w:val="single" w:sz="8" w:color="auto"/>
            </w:tcBorders>
          </w:tcPr>
          <w:p>
            <w:pPr>
              <w:spacing w:after="0"/>
              <w:rPr>
                <w:sz w:val="14"/>
                <w:szCs w:val="14"/>
                <w:color w:val="auto"/>
              </w:rPr>
            </w:pPr>
          </w:p>
        </w:tc>
        <w:tc>
          <w:tcPr>
            <w:tcW w:w="162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Proposed Maximum</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4"/>
              </w:rPr>
              <w:t>Proposed Maximum</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45"/>
        </w:trPr>
        <w:tc>
          <w:tcPr>
            <w:tcW w:w="3440" w:type="dxa"/>
            <w:vAlign w:val="bottom"/>
            <w:tcBorders>
              <w:right w:val="single" w:sz="8" w:color="auto"/>
            </w:tcBorders>
          </w:tcPr>
          <w:p>
            <w:pPr>
              <w:jc w:val="center"/>
              <w:ind w:right="8"/>
              <w:spacing w:after="0" w:line="145" w:lineRule="exact"/>
              <w:rPr>
                <w:sz w:val="20"/>
                <w:szCs w:val="20"/>
                <w:color w:val="auto"/>
              </w:rPr>
            </w:pPr>
            <w:r>
              <w:rPr>
                <w:rFonts w:ascii="Arial" w:cs="Arial" w:eastAsia="Arial" w:hAnsi="Arial"/>
                <w:sz w:val="14"/>
                <w:szCs w:val="14"/>
                <w:b w:val="1"/>
                <w:bCs w:val="1"/>
                <w:color w:val="auto"/>
                <w:w w:val="95"/>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Amount to be</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29"/>
              <w:spacing w:after="0" w:line="145" w:lineRule="exact"/>
              <w:rPr>
                <w:sz w:val="20"/>
                <w:szCs w:val="20"/>
                <w:color w:val="auto"/>
              </w:rPr>
            </w:pPr>
            <w:r>
              <w:rPr>
                <w:rFonts w:ascii="Arial" w:cs="Arial" w:eastAsia="Arial" w:hAnsi="Arial"/>
                <w:sz w:val="14"/>
                <w:szCs w:val="14"/>
                <w:b w:val="1"/>
                <w:bCs w:val="1"/>
                <w:color w:val="auto"/>
                <w:w w:val="95"/>
              </w:rPr>
              <w:t>Offering Price Per</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33"/>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240" w:type="dxa"/>
            <w:vAlign w:val="bottom"/>
          </w:tcPr>
          <w:p>
            <w:pPr>
              <w:spacing w:after="0"/>
              <w:rPr>
                <w:sz w:val="12"/>
                <w:szCs w:val="12"/>
                <w:color w:val="auto"/>
              </w:rPr>
            </w:pPr>
          </w:p>
        </w:tc>
        <w:tc>
          <w:tcPr>
            <w:tcW w:w="10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344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29"/>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53"/>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183"/>
        </w:trPr>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par value $0.01 per share</w:t>
            </w:r>
          </w:p>
        </w:tc>
        <w:tc>
          <w:tcPr>
            <w:tcW w:w="162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13,800,000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40.54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4"/>
                <w:szCs w:val="14"/>
                <w:color w:val="auto"/>
              </w:rPr>
              <w:t>559,452,000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69,651.78</w:t>
            </w:r>
          </w:p>
        </w:tc>
      </w:tr>
      <w:tr>
        <w:trPr>
          <w:trHeight w:val="61"/>
        </w:trPr>
        <w:tc>
          <w:tcPr>
            <w:tcW w:w="34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pacing w:after="0" w:line="157"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1,800,000 shares of common stock that the underwriters have the option to purchase. See “Underwriting (Conflicts of Interest).”</w:t>
      </w:r>
    </w:p>
    <w:p>
      <w:pPr>
        <w:spacing w:after="0" w:line="109" w:lineRule="exact"/>
        <w:rPr>
          <w:rFonts w:ascii="Arial" w:cs="Arial" w:eastAsia="Arial" w:hAnsi="Arial"/>
          <w:sz w:val="14"/>
          <w:szCs w:val="14"/>
          <w:color w:val="auto"/>
        </w:rPr>
      </w:pPr>
    </w:p>
    <w:p>
      <w:pPr>
        <w:ind w:left="347" w:hanging="347"/>
        <w:spacing w:after="0" w:line="257"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July 20, 2018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52070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29" w:lineRule="exact"/>
        <w:rPr>
          <w:sz w:val="24"/>
          <w:szCs w:val="24"/>
          <w:color w:val="auto"/>
        </w:rPr>
      </w:pPr>
    </w:p>
    <w:p>
      <w:pPr>
        <w:ind w:left="7" w:right="60" w:firstLine="360"/>
        <w:spacing w:after="0" w:line="25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6071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165100</wp:posOffset>
            </wp:positionV>
            <wp:extent cx="60718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473710</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538" w:gutter="0" w:footer="0" w:header="0"/>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left="7" w:right="20"/>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7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FC0014"/>
        </w:rPr>
        <w:t>Subject to Completion, dated July 23, 2018.</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PRELIMINARY PROSPECTUS</w:t>
      </w: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2"/>
          <w:szCs w:val="22"/>
          <w:b w:val="1"/>
          <w:b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148590</wp:posOffset>
            </wp:positionV>
            <wp:extent cx="1346200" cy="1046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7" w:right="720" w:firstLine="360"/>
        <w:spacing w:after="0" w:line="308" w:lineRule="auto"/>
        <w:rPr>
          <w:sz w:val="20"/>
          <w:szCs w:val="20"/>
          <w:color w:val="auto"/>
        </w:rPr>
      </w:pPr>
      <w:r>
        <w:rPr>
          <w:rFonts w:ascii="Arial" w:cs="Arial" w:eastAsia="Arial" w:hAnsi="Arial"/>
          <w:sz w:val="17"/>
          <w:szCs w:val="17"/>
          <w:color w:val="auto"/>
        </w:rPr>
        <w:t>The selling stockholders named in this prospectus are offering 12,000,000 shares of common stock of National Vision Holdings, Inc. We will not receive any proceeds from the sale of our common stock by the selling stockholders.</w:t>
      </w:r>
    </w:p>
    <w:p>
      <w:pPr>
        <w:spacing w:after="0" w:line="147"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July 20, 2018, the closing sales price of our common stock as reported on the NASDAQ was $40.49 per share.</w:t>
      </w:r>
    </w:p>
    <w:p>
      <w:pPr>
        <w:spacing w:after="0" w:line="170" w:lineRule="exact"/>
        <w:rPr>
          <w:sz w:val="20"/>
          <w:szCs w:val="20"/>
          <w:color w:val="auto"/>
        </w:rPr>
      </w:pPr>
    </w:p>
    <w:p>
      <w:pPr>
        <w:ind w:left="7" w:right="140" w:firstLine="360"/>
        <w:spacing w:after="0" w:line="257" w:lineRule="auto"/>
        <w:rPr>
          <w:sz w:val="20"/>
          <w:szCs w:val="20"/>
          <w:color w:val="auto"/>
        </w:rPr>
      </w:pPr>
      <w:r>
        <w:rPr>
          <w:rFonts w:ascii="Arial" w:cs="Arial" w:eastAsia="Arial" w:hAnsi="Arial"/>
          <w:sz w:val="18"/>
          <w:szCs w:val="18"/>
          <w:color w:val="auto"/>
        </w:rPr>
        <w:t>To the extent that the underwriters sell more than 12,000,000 shares of our common stock, the underwriters have the option to purchase up to an additional 1,800,000 shares from certain of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88" w:lineRule="exact"/>
        <w:rPr>
          <w:sz w:val="20"/>
          <w:szCs w:val="20"/>
          <w:color w:val="auto"/>
        </w:rPr>
      </w:pPr>
    </w:p>
    <w:p>
      <w:pPr>
        <w:ind w:left="7" w:right="260" w:firstLine="3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common stock involves risk. See “Risk Factors” beginning on page </w:t>
      </w:r>
      <w:hyperlink w:anchor="page31">
        <w:r>
          <w:rPr>
            <w:rFonts w:ascii="Arial" w:cs="Arial" w:eastAsia="Arial" w:hAnsi="Arial"/>
            <w:sz w:val="18"/>
            <w:szCs w:val="18"/>
            <w:b w:val="1"/>
            <w:bCs w:val="1"/>
            <w:i w:val="1"/>
            <w:iCs w:val="1"/>
            <w:u w:val="single" w:color="auto"/>
            <w:color w:val="0000EE"/>
          </w:rPr>
          <w:t>21</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81"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1440" w:type="dxa"/>
            <w:vAlign w:val="bottom"/>
          </w:tcPr>
          <w:p>
            <w:pPr>
              <w:jc w:val="right"/>
              <w:ind w:right="1254"/>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29"/>
                <w:szCs w:val="29"/>
                <w:color w:val="auto"/>
                <w:vertAlign w:val="superscript"/>
              </w:rPr>
              <w:t>(1)</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08"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w w:val="92"/>
              </w:rPr>
              <w:t>The underwriters expect to deliver the shares against payment in New York, New York on or about</w:t>
            </w:r>
          </w:p>
        </w:tc>
        <w:tc>
          <w:tcPr>
            <w:tcW w:w="68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30"/>
        </w:trPr>
        <w:tc>
          <w:tcPr>
            <w:tcW w:w="35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216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340" w:type="dxa"/>
            <w:vAlign w:val="bottom"/>
          </w:tcPr>
          <w:p>
            <w:pPr>
              <w:ind w:left="320"/>
              <w:spacing w:after="0"/>
              <w:rPr>
                <w:sz w:val="20"/>
                <w:szCs w:val="20"/>
                <w:color w:val="auto"/>
              </w:rPr>
            </w:pPr>
            <w:r>
              <w:rPr>
                <w:rFonts w:ascii="Arial" w:cs="Arial" w:eastAsia="Arial" w:hAnsi="Arial"/>
                <w:sz w:val="22"/>
                <w:szCs w:val="22"/>
                <w:b w:val="1"/>
                <w:bCs w:val="1"/>
                <w:color w:val="auto"/>
              </w:rPr>
              <w:t>Citigroup</w:t>
            </w:r>
          </w:p>
        </w:tc>
        <w:tc>
          <w:tcPr>
            <w:tcW w:w="3560" w:type="dxa"/>
            <w:vAlign w:val="bottom"/>
            <w:gridSpan w:val="2"/>
          </w:tcPr>
          <w:p>
            <w:pPr>
              <w:jc w:val="right"/>
              <w:ind w:right="270"/>
              <w:spacing w:after="0"/>
              <w:rPr>
                <w:sz w:val="20"/>
                <w:szCs w:val="20"/>
                <w:color w:val="auto"/>
              </w:rPr>
            </w:pPr>
            <w:r>
              <w:rPr>
                <w:rFonts w:ascii="Arial" w:cs="Arial" w:eastAsia="Arial" w:hAnsi="Arial"/>
                <w:sz w:val="22"/>
                <w:szCs w:val="22"/>
                <w:b w:val="1"/>
                <w:bCs w:val="1"/>
                <w:color w:val="auto"/>
              </w:rPr>
              <w:t>Goldman Sachs &amp; Co. LLC</w:t>
            </w:r>
          </w:p>
        </w:tc>
        <w:tc>
          <w:tcPr>
            <w:tcW w:w="1580" w:type="dxa"/>
            <w:vAlign w:val="bottom"/>
          </w:tcPr>
          <w:p>
            <w:pPr>
              <w:ind w:left="380"/>
              <w:spacing w:after="0"/>
              <w:rPr>
                <w:sz w:val="20"/>
                <w:szCs w:val="20"/>
                <w:color w:val="auto"/>
              </w:rPr>
            </w:pPr>
            <w:r>
              <w:rPr>
                <w:rFonts w:ascii="Arial" w:cs="Arial" w:eastAsia="Arial" w:hAnsi="Arial"/>
                <w:sz w:val="22"/>
                <w:szCs w:val="22"/>
                <w:b w:val="1"/>
                <w:bCs w:val="1"/>
                <w:color w:val="auto"/>
              </w:rPr>
              <w:t>Jefferies</w:t>
            </w:r>
          </w:p>
        </w:tc>
        <w:tc>
          <w:tcPr>
            <w:tcW w:w="920" w:type="dxa"/>
            <w:vAlign w:val="bottom"/>
          </w:tcPr>
          <w:p>
            <w:pPr>
              <w:ind w:left="420"/>
              <w:spacing w:after="0"/>
              <w:rPr>
                <w:sz w:val="20"/>
                <w:szCs w:val="20"/>
                <w:color w:val="auto"/>
              </w:rPr>
            </w:pPr>
            <w:r>
              <w:rPr>
                <w:rFonts w:ascii="Arial" w:cs="Arial" w:eastAsia="Arial" w:hAnsi="Arial"/>
                <w:sz w:val="22"/>
                <w:szCs w:val="22"/>
                <w:b w:val="1"/>
                <w:bCs w:val="1"/>
                <w:color w:val="auto"/>
              </w:rPr>
              <w:t>KKR</w:t>
            </w:r>
          </w:p>
        </w:tc>
      </w:tr>
      <w:tr>
        <w:trPr>
          <w:trHeight w:val="706"/>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rPr>
              <w:t>Prospectus dated</w:t>
            </w:r>
          </w:p>
        </w:tc>
        <w:tc>
          <w:tcPr>
            <w:tcW w:w="1880" w:type="dxa"/>
            <w:vAlign w:val="bottom"/>
          </w:tcPr>
          <w:p>
            <w:pPr>
              <w:jc w:val="right"/>
              <w:ind w:right="1030"/>
              <w:spacing w:after="0"/>
              <w:rPr>
                <w:sz w:val="20"/>
                <w:szCs w:val="20"/>
                <w:color w:val="auto"/>
              </w:rPr>
            </w:pPr>
            <w:r>
              <w:rPr>
                <w:rFonts w:ascii="Arial" w:cs="Arial" w:eastAsia="Arial" w:hAnsi="Arial"/>
                <w:sz w:val="18"/>
                <w:szCs w:val="18"/>
                <w:b w:val="1"/>
                <w:bCs w:val="1"/>
                <w:color w:val="auto"/>
              </w:rPr>
              <w:t>, 2018.</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8"/>
        </w:trPr>
        <w:tc>
          <w:tcPr>
            <w:tcW w:w="216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18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8198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19848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8189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818959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6646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6646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Market, Ranking, and Other Industry Data</w:t>
              </w:r>
            </w:hyperlink>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Trademarks, Service Marks and Tradenames</w:t>
              </w:r>
            </w:hyperlink>
          </w:p>
        </w:tc>
        <w:tc>
          <w:tcPr>
            <w:tcW w:w="200" w:type="dxa"/>
            <w:vAlign w:val="bottom"/>
            <w:gridSpan w:val="2"/>
          </w:tcPr>
          <w:p>
            <w:pPr>
              <w:jc w:val="right"/>
              <w:ind w:right="100"/>
              <w:spacing w:after="0" w:line="189"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shd w:val="clear" w:color="auto" w:fill="CCEEFF"/>
          </w:tcPr>
          <w:p>
            <w:pPr>
              <w:spacing w:after="0" w:line="189"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Basis of Presentation</w:t>
              </w:r>
            </w:hyperlink>
          </w:p>
        </w:tc>
        <w:tc>
          <w:tcPr>
            <w:tcW w:w="7840" w:type="dxa"/>
            <w:vAlign w:val="bottom"/>
            <w:tcBorders>
              <w:right w:val="single" w:sz="8" w:color="CCEEFF"/>
            </w:tcBorders>
            <w:gridSpan w:val="13"/>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Glossary</w:t>
              </w:r>
            </w:hyperlink>
          </w:p>
        </w:tc>
        <w:tc>
          <w:tcPr>
            <w:tcW w:w="7840" w:type="dxa"/>
            <w:vAlign w:val="bottom"/>
            <w:gridSpan w:val="13"/>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7"/>
                <w:szCs w:val="17"/>
                <w:color w:val="0000EE"/>
                <w:w w:val="70"/>
              </w:rPr>
            </w:pPr>
            <w:hyperlink w:anchor="page9">
              <w:r>
                <w:rPr>
                  <w:rFonts w:ascii="Arial" w:cs="Arial" w:eastAsia="Arial" w:hAnsi="Arial"/>
                  <w:sz w:val="17"/>
                  <w:szCs w:val="17"/>
                  <w:color w:val="0000EE"/>
                  <w:w w:val="70"/>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Non-GAAP Financial Measures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5"/>
                <w:szCs w:val="15"/>
                <w:color w:val="0000EE"/>
                <w:w w:val="73"/>
              </w:rPr>
            </w:pPr>
            <w:hyperlink w:anchor="page10">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2"/>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7060" w:type="dxa"/>
            <w:vAlign w:val="bottom"/>
            <w:gridSpan w:val="8"/>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8460" w:type="dxa"/>
            <w:vAlign w:val="bottom"/>
            <w:tcBorders>
              <w:right w:val="single" w:sz="8" w:color="CCEEFF"/>
            </w:tcBorders>
            <w:gridSpan w:val="17"/>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21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Special Note Regarding Forward-Looking Statements</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38">
              <w:r>
                <w:rPr>
                  <w:rFonts w:ascii="Arial" w:cs="Arial" w:eastAsia="Arial" w:hAnsi="Arial"/>
                  <w:sz w:val="10"/>
                  <w:szCs w:val="10"/>
                  <w:color w:val="0000EE"/>
                  <w:w w:val="71"/>
                </w:rPr>
                <w:t>28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0">
              <w:r>
                <w:rPr>
                  <w:rFonts w:ascii="Arial" w:cs="Arial" w:eastAsia="Arial" w:hAnsi="Arial"/>
                  <w:sz w:val="10"/>
                  <w:szCs w:val="10"/>
                  <w:color w:val="0000EE"/>
                  <w:w w:val="71"/>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41">
              <w:r>
                <w:rPr>
                  <w:rFonts w:ascii="Arial" w:cs="Arial" w:eastAsia="Arial" w:hAnsi="Arial"/>
                  <w:sz w:val="10"/>
                  <w:szCs w:val="10"/>
                  <w:color w:val="0000EE"/>
                  <w:w w:val="71"/>
                </w:rPr>
                <w:t>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shd w:val="clear" w:color="auto" w:fill="CCEEFF"/>
          </w:tcPr>
          <w:p>
            <w:pPr>
              <w:spacing w:after="0" w:line="189"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Price Range of Common Stock</w:t>
              </w:r>
            </w:hyperlink>
          </w:p>
        </w:tc>
        <w:tc>
          <w:tcPr>
            <w:tcW w:w="7120" w:type="dxa"/>
            <w:vAlign w:val="bottom"/>
            <w:tcBorders>
              <w:right w:val="single" w:sz="8" w:color="CCEEFF"/>
            </w:tcBorders>
            <w:gridSpan w:val="9"/>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2">
              <w:r>
                <w:rPr>
                  <w:rFonts w:ascii="Arial" w:cs="Arial" w:eastAsia="Arial" w:hAnsi="Arial"/>
                  <w:sz w:val="10"/>
                  <w:szCs w:val="10"/>
                  <w:color w:val="0000EE"/>
                  <w:w w:val="71"/>
                </w:rPr>
                <w:t>32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Capitalization</w:t>
              </w:r>
            </w:hyperlink>
          </w:p>
        </w:tc>
        <w:tc>
          <w:tcPr>
            <w:tcW w:w="7120" w:type="dxa"/>
            <w:vAlign w:val="bottom"/>
            <w:gridSpan w:val="9"/>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Certain Relationships and Related Party Transactions</w:t>
              </w:r>
            </w:hyperlink>
          </w:p>
        </w:tc>
        <w:tc>
          <w:tcPr>
            <w:tcW w:w="5520" w:type="dxa"/>
            <w:vAlign w:val="bottom"/>
            <w:tcBorders>
              <w:right w:val="single" w:sz="8" w:color="CCEEFF"/>
            </w:tcBorders>
            <w:gridSpan w:val="3"/>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34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Selling Stockholders</w:t>
              </w:r>
            </w:hyperlink>
          </w:p>
        </w:tc>
        <w:tc>
          <w:tcPr>
            <w:tcW w:w="5520" w:type="dxa"/>
            <w:vAlign w:val="bottom"/>
            <w:gridSpan w:val="3"/>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37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Capital Stock</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39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Shares Eligible for Future Sale</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Material United States Federal Income and Estate Tax Consequences to Non-U.S. Holders</w:t>
              </w:r>
            </w:hyperlink>
          </w:p>
        </w:tc>
        <w:tc>
          <w:tcPr>
            <w:tcW w:w="28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58">
              <w:r>
                <w:rPr>
                  <w:rFonts w:ascii="Arial" w:cs="Arial" w:eastAsia="Arial" w:hAnsi="Arial"/>
                  <w:sz w:val="10"/>
                  <w:szCs w:val="10"/>
                  <w:color w:val="0000EE"/>
                  <w:w w:val="71"/>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Underwriting (Conflicts of Interest)</w:t>
              </w:r>
            </w:hyperlink>
          </w:p>
        </w:tc>
        <w:tc>
          <w:tcPr>
            <w:tcW w:w="2860" w:type="dxa"/>
            <w:vAlign w:val="bottom"/>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1">
              <w:r>
                <w:rPr>
                  <w:rFonts w:ascii="Arial" w:cs="Arial" w:eastAsia="Arial" w:hAnsi="Arial"/>
                  <w:sz w:val="10"/>
                  <w:szCs w:val="10"/>
                  <w:color w:val="0000EE"/>
                  <w:w w:val="71"/>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Legal Matters</w:t>
              </w:r>
            </w:hyperlink>
          </w:p>
        </w:tc>
        <w:tc>
          <w:tcPr>
            <w:tcW w:w="8360" w:type="dxa"/>
            <w:vAlign w:val="bottom"/>
            <w:tcBorders>
              <w:right w:val="single" w:sz="8" w:color="CCEEFF"/>
            </w:tcBorders>
            <w:gridSpan w:val="16"/>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8360" w:type="dxa"/>
            <w:vAlign w:val="bottom"/>
            <w:gridSpan w:val="16"/>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4"/>
            <w:shd w:val="clear" w:color="auto" w:fill="CCEEFF"/>
          </w:tcPr>
          <w:p>
            <w:pPr>
              <w:spacing w:after="0" w:line="189"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Where You Can Find More Information</w:t>
              </w:r>
            </w:hyperlink>
          </w:p>
        </w:tc>
        <w:tc>
          <w:tcPr>
            <w:tcW w:w="6500" w:type="dxa"/>
            <w:vAlign w:val="bottom"/>
            <w:tcBorders>
              <w:right w:val="single" w:sz="8" w:color="CCEEFF"/>
            </w:tcBorders>
            <w:gridSpan w:val="6"/>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8"/>
          </w:tcPr>
          <w:p>
            <w:pPr>
              <w:spacing w:after="0" w:line="189"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Incorporation by Reference</w:t>
              </w:r>
            </w:hyperlink>
          </w:p>
        </w:tc>
        <w:tc>
          <w:tcPr>
            <w:tcW w:w="880" w:type="dxa"/>
            <w:vAlign w:val="bottom"/>
            <w:gridSpan w:val="6"/>
          </w:tcPr>
          <w:p>
            <w:pPr>
              <w:spacing w:after="0"/>
              <w:rPr>
                <w:sz w:val="16"/>
                <w:szCs w:val="16"/>
                <w:color w:val="auto"/>
              </w:rPr>
            </w:pPr>
          </w:p>
        </w:tc>
        <w:tc>
          <w:tcPr>
            <w:tcW w:w="6500" w:type="dxa"/>
            <w:vAlign w:val="bottom"/>
            <w:gridSpan w:val="6"/>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9">
              <w:r>
                <w:rPr>
                  <w:rFonts w:ascii="Arial" w:cs="Arial" w:eastAsia="Arial" w:hAnsi="Arial"/>
                  <w:sz w:val="10"/>
                  <w:szCs w:val="10"/>
                  <w:color w:val="0000EE"/>
                  <w:w w:val="71"/>
                </w:rPr>
                <w:t>59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b w:val="1"/>
          <w:bCs w:val="1"/>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December 30, 2017, filed on March 8,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60" w:hanging="356"/>
        <w:spacing w:after="0" w:line="276"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March 31, 2018, our omni-channel platform serves our America’s Best Contacts &amp; Eyeglasses, or America’s Best, stores, Eyeglass World stores and Vista Optical operations on U.S. Army and Air Force military bases.</w:t>
      </w:r>
    </w:p>
    <w:p>
      <w:pPr>
        <w:spacing w:after="0" w:line="64" w:lineRule="exact"/>
        <w:rPr>
          <w:rFonts w:ascii="Arial" w:cs="Arial" w:eastAsia="Arial" w:hAnsi="Arial"/>
          <w:sz w:val="17"/>
          <w:szCs w:val="17"/>
          <w:color w:val="auto"/>
        </w:rPr>
      </w:pPr>
    </w:p>
    <w:p>
      <w:pPr>
        <w:ind w:left="700" w:hanging="356"/>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 means our Quarterly Report on Form 10-Q for the quarterly period ended March 31, 2018, filed on May 15,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483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2825" cy="548386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the sections entitled “Risk Factors” and “Management’s Discussion and Analysis of Financial Condition and Results of Operations” and the audited consolidated financial statements and related notes thereto in our Annual Report, and the section entitled “Management’s Discussion and Analysis of Financial Condition and Results of Operations” and the unaudited condensed consolidated financial statements and related notes thereto in our Quarterly Report, each of which is incorporated by reference in this prospectus, before you decide to invest in shares of our common stock.</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1,027 retail stores across five brands and 20 consumer websites as of March 31, 2018.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82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2825" cy="688213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March 31, 2018.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70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246" w:lineRule="exact"/>
        <w:rPr>
          <w:sz w:val="20"/>
          <w:szCs w:val="20"/>
          <w:color w:val="auto"/>
        </w:rPr>
      </w:pPr>
    </w:p>
    <w:p>
      <w:pPr>
        <w:ind w:left="800" w:hanging="342"/>
        <w:spacing w:after="0" w:line="269"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Historically,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2"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65 consecutive quarters of positive comparable store sales growth.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65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right="120" w:hanging="353"/>
        <w:spacing w:after="0" w:line="27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5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765365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20" w:firstLine="360"/>
        <w:spacing w:after="0" w:line="289"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2017, the industry grew from $26 billion to $35 billion in annual sales, representing a CAGR of 3.1%. The industry experienced only a modest decline of approximately 3.8% during the 2008 to 2009 recession and rebounded with robust post-recession sales growth of 4.0% CAGR from 2009 to 2017,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March 2018. At age 45, the need for vision correction begins to increase significantly, with approximately 88% of adults in the United States between the ages of 45 and 54 and approximately 90%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40" w:hanging="342"/>
        <w:spacing w:after="0" w:line="271"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192 million people in the United States using vision correction devices in 2017 received nearly 115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44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6444615"/>
                    </a:xfrm>
                    <a:prstGeom prst="rect">
                      <a:avLst/>
                    </a:prstGeom>
                    <a:noFill/>
                  </pic:spPr>
                </pic:pic>
              </a:graphicData>
            </a:graphic>
          </wp:anchor>
        </w:drawing>
      </w:r>
    </w:p>
    <w:p>
      <w:pPr>
        <w:spacing w:after="0" w:line="246" w:lineRule="exact"/>
        <w:rPr>
          <w:sz w:val="20"/>
          <w:szCs w:val="20"/>
          <w:color w:val="auto"/>
        </w:rPr>
      </w:pPr>
    </w:p>
    <w:p>
      <w:pPr>
        <w:ind w:left="800" w:right="260" w:hanging="342"/>
        <w:spacing w:after="0" w:line="297"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70"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Focus on Health and Wellness. </w:t>
      </w:r>
      <w:r>
        <w:rPr>
          <w:rFonts w:ascii="Arial" w:cs="Arial" w:eastAsia="Arial" w:hAnsi="Arial"/>
          <w:sz w:val="17"/>
          <w:szCs w:val="17"/>
          <w:color w:val="auto"/>
        </w:rPr>
        <w:t>The optical retail industry is poised to benefit from expansive trends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33% in 2017,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380" w:hanging="342"/>
        <w:spacing w:after="0" w:line="276"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2017,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6.7%, more than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64" w:lineRule="exact"/>
        <w:rPr>
          <w:rFonts w:ascii="Arial" w:cs="Arial" w:eastAsia="Arial" w:hAnsi="Arial"/>
          <w:sz w:val="17"/>
          <w:szCs w:val="17"/>
          <w:color w:val="auto"/>
        </w:rPr>
      </w:pPr>
    </w:p>
    <w:p>
      <w:pPr>
        <w:ind w:left="800" w:right="40" w:hanging="342"/>
        <w:spacing w:after="0" w:line="25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0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60222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2016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80"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Our optical retail offerings are also more defensible to potential e-commerce pressure relative to other categories of retail. This is due to inherent penetration barriers that make optical retail better suited for</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138" w:lineRule="exact"/>
        <w:rPr>
          <w:sz w:val="20"/>
          <w:szCs w:val="20"/>
          <w:color w:val="auto"/>
        </w:rPr>
      </w:pPr>
    </w:p>
    <w:p>
      <w:pPr>
        <w:ind w:left="820"/>
        <w:spacing w:after="0" w:line="276" w:lineRule="auto"/>
        <w:rPr>
          <w:sz w:val="20"/>
          <w:szCs w:val="20"/>
          <w:color w:val="auto"/>
        </w:rPr>
      </w:pPr>
      <w:r>
        <w:rPr>
          <w:rFonts w:ascii="Arial" w:cs="Arial" w:eastAsia="Arial" w:hAnsi="Arial"/>
          <w:sz w:val="17"/>
          <w:szCs w:val="17"/>
          <w:color w:val="auto"/>
        </w:rPr>
        <w:t>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64" w:lineRule="exact"/>
        <w:rPr>
          <w:sz w:val="20"/>
          <w:szCs w:val="20"/>
          <w:color w:val="auto"/>
        </w:rPr>
      </w:pPr>
    </w:p>
    <w:p>
      <w:pPr>
        <w:ind w:left="800" w:right="120" w:hanging="342"/>
        <w:spacing w:after="0" w:line="25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8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100" w:hanging="342"/>
        <w:spacing w:after="0" w:line="270"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over 20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60" w:hanging="342"/>
        <w:spacing w:after="0" w:line="270"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right="40" w:hanging="342"/>
        <w:spacing w:after="0" w:line="272"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March 31, 2018.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140" w:hanging="342"/>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Partnerships with Retail Partners and Vendors. </w:t>
      </w:r>
      <w:r>
        <w:rPr>
          <w:rFonts w:ascii="Arial" w:cs="Arial" w:eastAsia="Arial" w:hAnsi="Arial"/>
          <w:sz w:val="18"/>
          <w:szCs w:val="18"/>
          <w:color w:val="auto"/>
        </w:rPr>
        <w:t>We have developed extensive and long-term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our frame and lens suppliers, our host and legacy partners and managed vision care companies. Our highly-experienced procurement team leverages long-standing relationships with our vendors to source all of our products. Our strong vendor relationships and scale allow us to</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138"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4" w:lineRule="exact"/>
        <w:rPr>
          <w:sz w:val="20"/>
          <w:szCs w:val="20"/>
          <w:color w:val="auto"/>
        </w:rPr>
      </w:pPr>
    </w:p>
    <w:p>
      <w:pPr>
        <w:ind w:left="800" w:right="20" w:hanging="342"/>
        <w:spacing w:after="0" w:line="255"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right="20" w:hanging="342"/>
        <w:spacing w:after="0" w:line="286"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512 stores on a net basis (opened 581 new stores and closed 69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715 stores as of March 31, 2018 to a total of at least 1,850 stores, with similar economics to the existing store base.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6"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58"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Operating Productivity. </w:t>
      </w:r>
      <w:r>
        <w:rPr>
          <w:rFonts w:ascii="Arial" w:cs="Arial" w:eastAsia="Arial" w:hAnsi="Arial"/>
          <w:sz w:val="18"/>
          <w:szCs w:val="18"/>
          <w:color w:val="auto"/>
        </w:rPr>
        <w:t>We believe that our continued growth will provide further opportunities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13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7113270"/>
                    </a:xfrm>
                    <a:prstGeom prst="rect">
                      <a:avLst/>
                    </a:prstGeom>
                    <a:noFill/>
                  </pic:spPr>
                </pic:pic>
              </a:graphicData>
            </a:graphic>
          </wp:anchor>
        </w:drawing>
      </w:r>
    </w:p>
    <w:p>
      <w:pPr>
        <w:spacing w:after="0" w:line="138" w:lineRule="exact"/>
        <w:rPr>
          <w:sz w:val="20"/>
          <w:szCs w:val="20"/>
          <w:color w:val="auto"/>
        </w:rPr>
      </w:pPr>
    </w:p>
    <w:p>
      <w:pPr>
        <w:ind w:left="820" w:right="520"/>
        <w:spacing w:after="0" w:line="264" w:lineRule="auto"/>
        <w:rPr>
          <w:sz w:val="20"/>
          <w:szCs w:val="20"/>
          <w:color w:val="auto"/>
        </w:rPr>
      </w:pPr>
      <w:r>
        <w:rPr>
          <w:rFonts w:ascii="Arial" w:cs="Arial" w:eastAsia="Arial" w:hAnsi="Arial"/>
          <w:sz w:val="18"/>
          <w:szCs w:val="18"/>
          <w:color w:val="auto"/>
        </w:rPr>
        <w:t>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73"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0" w:lineRule="exact"/>
        <w:rPr>
          <w:sz w:val="20"/>
          <w:szCs w:val="20"/>
          <w:color w:val="auto"/>
        </w:rPr>
      </w:pPr>
    </w:p>
    <w:p>
      <w:pPr>
        <w:ind w:left="800" w:hanging="342"/>
        <w:spacing w:after="0" w:line="287"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of Consolidated Financial Results as of and for the Six Months Ended June 30, 2018</w:t>
      </w:r>
    </w:p>
    <w:p>
      <w:pPr>
        <w:spacing w:after="0" w:line="115" w:lineRule="exact"/>
        <w:rPr>
          <w:sz w:val="20"/>
          <w:szCs w:val="20"/>
          <w:color w:val="auto"/>
        </w:rPr>
      </w:pPr>
    </w:p>
    <w:p>
      <w:pPr>
        <w:ind w:left="100" w:right="40" w:firstLine="360"/>
        <w:spacing w:after="0" w:line="271" w:lineRule="auto"/>
        <w:rPr>
          <w:sz w:val="20"/>
          <w:szCs w:val="20"/>
          <w:color w:val="auto"/>
        </w:rPr>
      </w:pPr>
      <w:r>
        <w:rPr>
          <w:rFonts w:ascii="Arial" w:cs="Arial" w:eastAsia="Arial" w:hAnsi="Arial"/>
          <w:sz w:val="17"/>
          <w:szCs w:val="17"/>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six months ended June 30, 2018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six months ended June 30, 2018. You should not place undue reliance on these estimates. See “Special Note Regarding Forward-Looking Statements” and “Risk Factors.”</w:t>
      </w:r>
    </w:p>
    <w:p>
      <w:pPr>
        <w:spacing w:after="0" w:line="71" w:lineRule="exact"/>
        <w:rPr>
          <w:sz w:val="20"/>
          <w:szCs w:val="20"/>
          <w:color w:val="auto"/>
        </w:rPr>
      </w:pPr>
    </w:p>
    <w:p>
      <w:pPr>
        <w:jc w:val="both"/>
        <w:ind w:left="100" w:firstLine="360"/>
        <w:spacing w:after="0" w:line="264" w:lineRule="auto"/>
        <w:rPr>
          <w:sz w:val="20"/>
          <w:szCs w:val="20"/>
          <w:color w:val="auto"/>
        </w:rPr>
      </w:pPr>
      <w:r>
        <w:rPr>
          <w:rFonts w:ascii="Arial" w:cs="Arial" w:eastAsia="Arial" w:hAnsi="Arial"/>
          <w:sz w:val="18"/>
          <w:szCs w:val="18"/>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73" w:lineRule="exact"/>
        <w:rPr>
          <w:sz w:val="20"/>
          <w:szCs w:val="20"/>
          <w:color w:val="auto"/>
        </w:rPr>
      </w:pPr>
    </w:p>
    <w:p>
      <w:pPr>
        <w:ind w:left="100" w:right="80" w:firstLine="360"/>
        <w:spacing w:after="0" w:line="259" w:lineRule="auto"/>
        <w:rPr>
          <w:sz w:val="20"/>
          <w:szCs w:val="20"/>
          <w:color w:val="auto"/>
        </w:rPr>
      </w:pPr>
      <w:r>
        <w:rPr>
          <w:rFonts w:ascii="Arial" w:cs="Arial" w:eastAsia="Arial" w:hAnsi="Arial"/>
          <w:sz w:val="18"/>
          <w:szCs w:val="18"/>
          <w:color w:val="auto"/>
        </w:rPr>
        <w:t>As of June 30, 2018, we operated 1,050 stores, compared to 980 stores as of July 1, 2017. We estimate that our comparable store sales growth will be in the range of 6.9% and 7.1% and our adjusted comparable store sales growth will be in the range of 6.2% and 6.4% for the six months ended June 30, 2018, compared to 7.0% and 6.5%, respectively, for the six months ended July 1, 2017.</w:t>
      </w:r>
    </w:p>
    <w:p>
      <w:pPr>
        <w:spacing w:after="0" w:line="79" w:lineRule="exact"/>
        <w:rPr>
          <w:sz w:val="20"/>
          <w:szCs w:val="20"/>
          <w:color w:val="auto"/>
        </w:rPr>
      </w:pPr>
    </w:p>
    <w:p>
      <w:pPr>
        <w:ind w:left="100" w:right="280" w:firstLine="360"/>
        <w:spacing w:after="0" w:line="308" w:lineRule="auto"/>
        <w:rPr>
          <w:sz w:val="20"/>
          <w:szCs w:val="20"/>
          <w:color w:val="auto"/>
        </w:rPr>
      </w:pPr>
      <w:r>
        <w:rPr>
          <w:rFonts w:ascii="Arial" w:cs="Arial" w:eastAsia="Arial" w:hAnsi="Arial"/>
          <w:sz w:val="17"/>
          <w:szCs w:val="17"/>
          <w:color w:val="auto"/>
        </w:rPr>
        <w:t>For the six months ended June 30, 2018, we estimate that our consolidated net revenue will range from $790.5 million to $792.5 million, compared to consolidated net revenue of $707.4 million for the six months ended July 1, 2017.</w:t>
      </w:r>
    </w:p>
    <w:p>
      <w:pPr>
        <w:spacing w:after="0" w:line="38" w:lineRule="exact"/>
        <w:rPr>
          <w:sz w:val="20"/>
          <w:szCs w:val="20"/>
          <w:color w:val="auto"/>
        </w:rPr>
      </w:pPr>
    </w:p>
    <w:p>
      <w:pPr>
        <w:ind w:left="100" w:right="240" w:firstLine="360"/>
        <w:spacing w:after="0" w:line="264" w:lineRule="auto"/>
        <w:rPr>
          <w:sz w:val="20"/>
          <w:szCs w:val="20"/>
          <w:color w:val="auto"/>
        </w:rPr>
      </w:pPr>
      <w:r>
        <w:rPr>
          <w:rFonts w:ascii="Arial" w:cs="Arial" w:eastAsia="Arial" w:hAnsi="Arial"/>
          <w:sz w:val="18"/>
          <w:szCs w:val="18"/>
          <w:color w:val="auto"/>
        </w:rPr>
        <w:t>We estimate that our net income will be between $36.4 million and $37.4 million for the six months ended June 30, 2018, compared to net income of $15.6 million for the six months ended July 1, 2017. For the six months ended June 30, 2018, we estimate that our Adjusted EBITDA will range from $106.1 million to</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91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7491095"/>
                    </a:xfrm>
                    <a:prstGeom prst="rect">
                      <a:avLst/>
                    </a:prstGeom>
                    <a:noFill/>
                  </pic:spPr>
                </pic:pic>
              </a:graphicData>
            </a:graphic>
          </wp:anchor>
        </w:drawing>
      </w:r>
    </w:p>
    <w:p>
      <w:pPr>
        <w:spacing w:after="0" w:line="138" w:lineRule="exact"/>
        <w:rPr>
          <w:sz w:val="20"/>
          <w:szCs w:val="20"/>
          <w:color w:val="auto"/>
        </w:rPr>
      </w:pPr>
    </w:p>
    <w:p>
      <w:pPr>
        <w:jc w:val="both"/>
        <w:ind w:left="100" w:right="520"/>
        <w:spacing w:after="0" w:line="264" w:lineRule="auto"/>
        <w:rPr>
          <w:sz w:val="20"/>
          <w:szCs w:val="20"/>
          <w:color w:val="auto"/>
        </w:rPr>
      </w:pPr>
      <w:r>
        <w:rPr>
          <w:rFonts w:ascii="Arial" w:cs="Arial" w:eastAsia="Arial" w:hAnsi="Arial"/>
          <w:sz w:val="18"/>
          <w:szCs w:val="18"/>
          <w:color w:val="auto"/>
        </w:rPr>
        <w:t>$107.1 million, compared to Adjusted EBITDA of $98.5 million for the six months ended July 1, 2017. We estimate that our Adjusted Net Income will be between $41.2 million and $42.2 million for the six months ended June 30, 2018, compared to Adjusted Net Income of $30.2 million for the six months ended July 1, 2017.</w:t>
      </w:r>
    </w:p>
    <w:p>
      <w:pPr>
        <w:spacing w:after="0" w:line="73" w:lineRule="exact"/>
        <w:rPr>
          <w:sz w:val="20"/>
          <w:szCs w:val="20"/>
          <w:color w:val="auto"/>
        </w:rPr>
      </w:pPr>
    </w:p>
    <w:p>
      <w:pPr>
        <w:ind w:left="100" w:right="160" w:firstLine="360"/>
        <w:spacing w:after="0" w:line="273" w:lineRule="auto"/>
        <w:rPr>
          <w:sz w:val="20"/>
          <w:szCs w:val="20"/>
          <w:color w:val="auto"/>
        </w:rPr>
      </w:pPr>
      <w:r>
        <w:rPr>
          <w:rFonts w:ascii="Arial" w:cs="Arial" w:eastAsia="Arial" w:hAnsi="Arial"/>
          <w:sz w:val="17"/>
          <w:szCs w:val="17"/>
          <w:color w:val="auto"/>
        </w:rPr>
        <w:t>Our results in the six months ended June 30, 2018 compared to the same period in 2017 benefited from net revenue growth driven by comparable store sales growth, new stores, order volume in our AC Lens e-commerce business, and timing of unearned revenues. The primary drivers for the increase in comparable store sales growth from the three months ended March 31, 2018 were customer traffic that benefited from an extended peak selling season and traffic shift due to inclement March weather conditions. For the six months ended June 30, 2018, Adjusted EBITDA grew at a slower rate than net revenue primarily due to higher optometrist costs, advertising, and public company expenses.</w:t>
      </w:r>
    </w:p>
    <w:p>
      <w:pPr>
        <w:spacing w:after="0" w:line="70" w:lineRule="exact"/>
        <w:rPr>
          <w:sz w:val="20"/>
          <w:szCs w:val="20"/>
          <w:color w:val="auto"/>
        </w:rPr>
      </w:pPr>
    </w:p>
    <w:p>
      <w:pPr>
        <w:ind w:left="100" w:right="460" w:firstLine="360"/>
        <w:spacing w:after="0" w:line="277" w:lineRule="auto"/>
        <w:rPr>
          <w:sz w:val="20"/>
          <w:szCs w:val="20"/>
          <w:color w:val="auto"/>
        </w:rPr>
      </w:pPr>
      <w:r>
        <w:rPr>
          <w:rFonts w:ascii="Arial" w:cs="Arial" w:eastAsia="Arial" w:hAnsi="Arial"/>
          <w:sz w:val="18"/>
          <w:szCs w:val="18"/>
          <w:color w:val="auto"/>
        </w:rPr>
        <w:t>As of June 30, 2018, we estimate that we had cash and cash equivalents of approximately $34.6 million and total debt of approximately $574.3 million.</w:t>
      </w:r>
    </w:p>
    <w:p>
      <w:pPr>
        <w:spacing w:after="0" w:line="62" w:lineRule="exact"/>
        <w:rPr>
          <w:sz w:val="20"/>
          <w:szCs w:val="20"/>
          <w:color w:val="auto"/>
        </w:rPr>
      </w:pPr>
    </w:p>
    <w:p>
      <w:pPr>
        <w:ind w:left="100" w:right="300" w:firstLine="360"/>
        <w:spacing w:after="0" w:line="257" w:lineRule="auto"/>
        <w:rPr>
          <w:sz w:val="20"/>
          <w:szCs w:val="20"/>
          <w:color w:val="auto"/>
        </w:rPr>
      </w:pPr>
      <w:r>
        <w:rPr>
          <w:rFonts w:ascii="Arial" w:cs="Arial" w:eastAsia="Arial" w:hAnsi="Arial"/>
          <w:sz w:val="18"/>
          <w:szCs w:val="18"/>
          <w:color w:val="auto"/>
        </w:rPr>
        <w:t>Please see below for a reconciliation of net income to EBITDA, Adjusted EBITDA and Adjusted Net Income for the six months ended June 30, 2018 (at the low end and high end of the estimated net income range set forth above) and the six months ended July 1, 2017. In addition, please see “—Summary Historical Consolidated Financial and Other Data” for how we define EBITDA, Adjusted EBITDA and Adjusted Net Income, the reasons why we include these measures and certain limitations to their use.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July 1, 2017</w:t>
            </w:r>
          </w:p>
        </w:tc>
        <w:tc>
          <w:tcPr>
            <w:tcW w:w="220" w:type="dxa"/>
            <w:vAlign w:val="bottom"/>
            <w:gridSpan w:val="3"/>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Low</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4"/>
                <w:szCs w:val="14"/>
                <w:color w:val="auto"/>
              </w:rPr>
              <w:t>High</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color w:val="auto"/>
              </w:rPr>
              <w:t>Actual</w:t>
            </w: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99,700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2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2360" w:type="dxa"/>
            <w:vAlign w:val="bottom"/>
            <w:gridSpan w:val="4"/>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107,100</w:t>
            </w:r>
          </w:p>
        </w:tc>
        <w:tc>
          <w:tcPr>
            <w:tcW w:w="140" w:type="dxa"/>
            <w:vAlign w:val="bottom"/>
            <w:gridSpan w:val="2"/>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3"/>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gridSpan w:val="3"/>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Arial" w:cs="Arial" w:eastAsia="Arial" w:hAnsi="Arial"/>
                <w:sz w:val="14"/>
                <w:szCs w:val="14"/>
                <w:color w:val="auto"/>
              </w:rPr>
              <w:t>Low</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4"/>
                <w:szCs w:val="14"/>
                <w:color w:val="auto"/>
                <w:w w:val="90"/>
              </w:rPr>
              <w:t>High</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color w:val="auto"/>
                <w:w w:val="97"/>
              </w:rPr>
              <w:t>Actual</w:t>
            </w: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37,400</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0"/>
        </w:trPr>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Secondary offering expenses</w:t>
            </w:r>
            <w:r>
              <w:rPr>
                <w:rFonts w:ascii="Arial" w:cs="Arial" w:eastAsia="Arial" w:hAnsi="Arial"/>
                <w:sz w:val="29"/>
                <w:szCs w:val="29"/>
                <w:color w:val="auto"/>
                <w:vertAlign w:val="superscript"/>
              </w:rPr>
              <w:t>(i)</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10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29"/>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40" w:type="dxa"/>
            <w:vAlign w:val="bottom"/>
          </w:tcPr>
          <w:p>
            <w:pPr>
              <w:jc w:val="right"/>
              <w:ind w:right="8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56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2825" cy="625602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July 1, 2017</w:t>
            </w:r>
          </w:p>
        </w:tc>
        <w:tc>
          <w:tcPr>
            <w:tcW w:w="80" w:type="dxa"/>
            <w:vAlign w:val="bottom"/>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Low</w:t>
            </w:r>
          </w:p>
        </w:tc>
        <w:tc>
          <w:tcPr>
            <w:tcW w:w="360" w:type="dxa"/>
            <w:vAlign w:val="bottom"/>
          </w:tcPr>
          <w:p>
            <w:pPr>
              <w:spacing w:after="0"/>
              <w:rPr>
                <w:sz w:val="17"/>
                <w:szCs w:val="17"/>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4"/>
                <w:szCs w:val="14"/>
                <w:color w:val="auto"/>
                <w:w w:val="90"/>
              </w:rPr>
              <w:t>High</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Actual</w:t>
            </w:r>
          </w:p>
        </w:tc>
      </w:tr>
      <w:tr>
        <w:trPr>
          <w:trHeight w:val="243"/>
        </w:trPr>
        <w:tc>
          <w:tcPr>
            <w:tcW w:w="56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21"/>
                <w:szCs w:val="21"/>
                <w:color w:val="auto"/>
              </w:rPr>
            </w:pPr>
          </w:p>
        </w:tc>
      </w:tr>
      <w:tr>
        <w:trPr>
          <w:trHeight w:val="243"/>
        </w:trPr>
        <w:tc>
          <w:tcPr>
            <w:tcW w:w="5680" w:type="dxa"/>
            <w:vAlign w:val="bottom"/>
            <w:gridSpan w:val="2"/>
          </w:tcPr>
          <w:p>
            <w:pPr>
              <w:spacing w:after="0" w:line="243" w:lineRule="exact"/>
              <w:rPr>
                <w:sz w:val="20"/>
                <w:szCs w:val="20"/>
                <w:color w:val="auto"/>
              </w:rPr>
            </w:pPr>
            <w:r>
              <w:rPr>
                <w:rFonts w:ascii="Arial" w:cs="Arial" w:eastAsia="Arial" w:hAnsi="Arial"/>
                <w:sz w:val="17"/>
                <w:szCs w:val="17"/>
                <w:color w:val="auto"/>
              </w:rPr>
              <w:t>Amortization of acquisition intangibles and deferred financing costs</w:t>
            </w:r>
            <w:r>
              <w:rPr>
                <w:rFonts w:ascii="Arial" w:cs="Arial" w:eastAsia="Arial" w:hAnsi="Arial"/>
                <w:sz w:val="28"/>
                <w:szCs w:val="28"/>
                <w:color w:val="auto"/>
                <w:vertAlign w:val="superscript"/>
              </w:rPr>
              <w:t>(k)</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21"/>
                <w:szCs w:val="21"/>
                <w:color w:val="auto"/>
              </w:rPr>
            </w:pPr>
          </w:p>
        </w:tc>
      </w:tr>
      <w:tr>
        <w:trPr>
          <w:trHeight w:val="243"/>
        </w:trPr>
        <w:tc>
          <w:tcPr>
            <w:tcW w:w="56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(l)</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w:t>
            </w:r>
          </w:p>
        </w:tc>
        <w:tc>
          <w:tcPr>
            <w:tcW w:w="3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(4,100)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gridSpan w:val="2"/>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(m)</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(3,100)</w:t>
            </w:r>
          </w:p>
        </w:tc>
        <w:tc>
          <w:tcPr>
            <w:tcW w:w="3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(9,770)</w:t>
            </w:r>
          </w:p>
        </w:tc>
      </w:tr>
      <w:tr>
        <w:trPr>
          <w:trHeight w:val="277"/>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120" w:hanging="353"/>
        <w:spacing w:after="0" w:line="273"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$2.7 million of fees associated with the borrowing of $175.0 million in additional principal under our first lien credit agreement in the six months ended July 1, 2017.</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write-off of a cost basis investment for the six months ended July 1, 2017.</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220" w:hanging="353"/>
        <w:spacing w:after="0" w:line="273"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(as defined below).</w:t>
      </w:r>
    </w:p>
    <w:p>
      <w:pPr>
        <w:spacing w:after="0" w:line="65"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Expenses related to secondary public offerings of our common stock incurred during the six months ended June 30, 2018.</w:t>
      </w:r>
    </w:p>
    <w:p>
      <w:pPr>
        <w:spacing w:after="0" w:line="109" w:lineRule="exact"/>
        <w:rPr>
          <w:rFonts w:ascii="Arial" w:cs="Arial" w:eastAsia="Arial" w:hAnsi="Arial"/>
          <w:sz w:val="14"/>
          <w:szCs w:val="14"/>
          <w:color w:val="auto"/>
        </w:rPr>
      </w:pPr>
    </w:p>
    <w:p>
      <w:pPr>
        <w:ind w:left="460" w:hanging="353"/>
        <w:spacing w:after="0" w:line="245"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$0.6 million and $0.3 million for the six months ended June 30, 2018 and July 1, 2017, respectively; the amortization impact of the KKR Acquisition-related adjustments (e.g., fair value of leasehold interests) of $69,000 and $(0.2) million for the six months ended June 30, 2018 and July 1, 2017, respectively; expenses related to preparation for being an SEC registrant that were not directly attributable to the IPO and therefore not charged to equity of $1.2 million for the six months ended July 1, 2017; differences between the timing of expense versus cash payments related to contributions to charitable organizations of $(0.5) million for each of the six months ended June 30, 2018 and July 1, 2017; costs of severance and relocation of $0.5 million and $0.3 million for the six months ended June 30, 2018 and July 1, 2017, respectively; and other expenses and adjustments totaling $0.5 million and $71,000 for the six months ended June 30, 2018 and July 1, 2017, respectively.</w:t>
      </w:r>
    </w:p>
    <w:p>
      <w:pPr>
        <w:spacing w:after="0" w:line="87" w:lineRule="exact"/>
        <w:rPr>
          <w:rFonts w:ascii="Arial" w:cs="Arial" w:eastAsia="Arial" w:hAnsi="Arial"/>
          <w:sz w:val="14"/>
          <w:szCs w:val="14"/>
          <w:color w:val="auto"/>
        </w:rPr>
      </w:pPr>
    </w:p>
    <w:p>
      <w:pPr>
        <w:ind w:left="460" w:right="260" w:hanging="353"/>
        <w:spacing w:after="0" w:line="273"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$3.7 million for each of the six months ended June 30, 2018 and July 1,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$0.8 million and $2.0 million for the six months ended June 30, 2018 and July 1, 2017, respectively.</w:t>
      </w:r>
    </w:p>
    <w:p>
      <w:pPr>
        <w:spacing w:after="0" w:line="68" w:lineRule="exact"/>
        <w:rPr>
          <w:rFonts w:ascii="Arial" w:cs="Arial" w:eastAsia="Arial" w:hAnsi="Arial"/>
          <w:sz w:val="13"/>
          <w:szCs w:val="13"/>
          <w:color w:val="auto"/>
        </w:rPr>
      </w:pPr>
    </w:p>
    <w:p>
      <w:pPr>
        <w:ind w:left="460" w:right="340" w:hanging="353"/>
        <w:spacing w:after="0" w:line="312"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statutory effective tax rate.</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62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2825" cy="7362190"/>
                    </a:xfrm>
                    <a:prstGeom prst="rect">
                      <a:avLst/>
                    </a:prstGeom>
                    <a:noFill/>
                  </pic:spPr>
                </pic:pic>
              </a:graphicData>
            </a:graphic>
          </wp:anchor>
        </w:drawing>
      </w:r>
    </w:p>
    <w:p>
      <w:pPr>
        <w:spacing w:after="0" w:line="246"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Operations—How We Assess the Performance of our Business— Adjusted Comparable Store Sales Growth” in the Annual Report and Quarterly Report, each of which is incorporated herein by reference, for how we calculate adjusted comparable store sales growth, the reasons why we include it and certain limitations to its use.</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720" w:type="dxa"/>
            <w:vAlign w:val="bottom"/>
          </w:tcPr>
          <w:p>
            <w:pPr>
              <w:spacing w:after="0"/>
              <w:rPr>
                <w:sz w:val="15"/>
                <w:szCs w:val="15"/>
                <w:color w:val="auto"/>
              </w:rPr>
            </w:pPr>
          </w:p>
        </w:tc>
        <w:tc>
          <w:tcPr>
            <w:tcW w:w="19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July 1, 2017</w:t>
            </w:r>
          </w:p>
        </w:tc>
        <w:tc>
          <w:tcPr>
            <w:tcW w:w="80" w:type="dxa"/>
            <w:vAlign w:val="bottom"/>
          </w:tcPr>
          <w:p>
            <w:pPr>
              <w:spacing w:after="0"/>
              <w:rPr>
                <w:sz w:val="15"/>
                <w:szCs w:val="15"/>
                <w:color w:val="auto"/>
              </w:rPr>
            </w:pPr>
          </w:p>
        </w:tc>
      </w:tr>
      <w:tr>
        <w:trPr>
          <w:trHeight w:val="196"/>
        </w:trPr>
        <w:tc>
          <w:tcPr>
            <w:tcW w:w="572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w w:val="93"/>
              </w:rPr>
              <w:t>Low</w:t>
            </w:r>
          </w:p>
        </w:tc>
        <w:tc>
          <w:tcPr>
            <w:tcW w:w="540" w:type="dxa"/>
            <w:vAlign w:val="bottom"/>
          </w:tcPr>
          <w:p>
            <w:pPr>
              <w:spacing w:after="0"/>
              <w:rPr>
                <w:sz w:val="17"/>
                <w:szCs w:val="17"/>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color w:val="auto"/>
              </w:rPr>
              <w:t>High</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Actual</w:t>
            </w:r>
          </w:p>
        </w:tc>
      </w:tr>
      <w:tr>
        <w:trPr>
          <w:trHeight w:val="243"/>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store sales growth</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6.9%</w:t>
            </w:r>
          </w:p>
        </w:tc>
        <w:tc>
          <w:tcPr>
            <w:tcW w:w="1040" w:type="dxa"/>
            <w:vAlign w:val="bottom"/>
            <w:gridSpan w:val="2"/>
            <w:shd w:val="clear" w:color="auto" w:fill="CCEEFF"/>
          </w:tcPr>
          <w:p>
            <w:pPr>
              <w:jc w:val="center"/>
              <w:ind w:left="379"/>
              <w:spacing w:after="0"/>
              <w:rPr>
                <w:sz w:val="20"/>
                <w:szCs w:val="20"/>
                <w:color w:val="auto"/>
              </w:rPr>
            </w:pPr>
            <w:r>
              <w:rPr>
                <w:rFonts w:ascii="Arial" w:cs="Arial" w:eastAsia="Arial" w:hAnsi="Arial"/>
                <w:sz w:val="18"/>
                <w:szCs w:val="18"/>
                <w:color w:val="auto"/>
                <w:w w:val="92"/>
              </w:rPr>
              <w:t>7.1%</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390"/>
        </w:trPr>
        <w:tc>
          <w:tcPr>
            <w:tcW w:w="6300" w:type="dxa"/>
            <w:vAlign w:val="bottom"/>
            <w:gridSpan w:val="2"/>
          </w:tcPr>
          <w:p>
            <w:pPr>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9"/>
                <w:szCs w:val="29"/>
                <w:color w:val="auto"/>
                <w:vertAlign w:val="superscript"/>
              </w:rPr>
              <w:t>(1)</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2"/>
              </w:rPr>
              <w:t>6.2%</w:t>
            </w:r>
          </w:p>
        </w:tc>
        <w:tc>
          <w:tcPr>
            <w:tcW w:w="1040" w:type="dxa"/>
            <w:vAlign w:val="bottom"/>
            <w:gridSpan w:val="2"/>
          </w:tcPr>
          <w:p>
            <w:pPr>
              <w:jc w:val="center"/>
              <w:ind w:left="379"/>
              <w:spacing w:after="0"/>
              <w:rPr>
                <w:sz w:val="20"/>
                <w:szCs w:val="20"/>
                <w:color w:val="auto"/>
              </w:rPr>
            </w:pPr>
            <w:r>
              <w:rPr>
                <w:rFonts w:ascii="Arial" w:cs="Arial" w:eastAsia="Arial" w:hAnsi="Arial"/>
                <w:sz w:val="18"/>
                <w:szCs w:val="18"/>
                <w:color w:val="auto"/>
                <w:w w:val="92"/>
              </w:rPr>
              <w:t>6.4%</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145" w:lineRule="exact"/>
        <w:rPr>
          <w:sz w:val="20"/>
          <w:szCs w:val="20"/>
          <w:color w:val="auto"/>
        </w:rPr>
      </w:pPr>
    </w:p>
    <w:p>
      <w:pPr>
        <w:ind w:left="460" w:right="80" w:hanging="353"/>
        <w:spacing w:after="0" w:line="247"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0.7% and 0.1%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and services agreement), resulting in a decrease of 0.4% from total comparable store sales growth based on consolidated net revenue for the six months ended July 1, 2017.</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 xml:space="preserve">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w:t>
      </w:r>
      <w:r>
        <w:rPr>
          <w:rFonts w:ascii="Arial" w:cs="Arial" w:eastAsia="Arial" w:hAnsi="Arial"/>
          <w:sz w:val="17"/>
          <w:szCs w:val="17"/>
          <w:u w:val="single" w:color="auto"/>
          <w:color w:val="auto"/>
        </w:rPr>
        <w:t>In July 2018, the U.S. Court of Appeals for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Ninth Circuit vacated in part, and reversed in part, the district court’s dismissal and remanded for further proceedings.</w:t>
      </w:r>
      <w:r>
        <w:rPr>
          <w:rFonts w:ascii="Arial" w:cs="Arial" w:eastAsia="Arial" w:hAnsi="Arial"/>
          <w:sz w:val="17"/>
          <w:szCs w:val="17"/>
          <w:color w:val="auto"/>
        </w:rPr>
        <w:t xml:space="preserve"> We intend to continue to defend the litigation vigorously. We believe that the claims alleged are without merit.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right="40" w:firstLine="360"/>
        <w:spacing w:after="0" w:line="277" w:lineRule="auto"/>
        <w:rPr>
          <w:sz w:val="20"/>
          <w:szCs w:val="20"/>
          <w:color w:val="auto"/>
        </w:rPr>
      </w:pPr>
      <w:r>
        <w:rPr>
          <w:rFonts w:ascii="Arial" w:cs="Arial" w:eastAsia="Arial" w:hAnsi="Arial"/>
          <w:sz w:val="18"/>
          <w:szCs w:val="18"/>
          <w:color w:val="auto"/>
        </w:rPr>
        <w:t>Any of the factors set forth under “Risk Factors” in this prospectus and under “Risk Factors” in our Annual Report, which is incorporated herein by reference, may limit our ability to successfully execute our</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138" w:lineRule="exact"/>
        <w:rPr>
          <w:sz w:val="20"/>
          <w:szCs w:val="20"/>
          <w:color w:val="auto"/>
        </w:rPr>
      </w:pPr>
    </w:p>
    <w:p>
      <w:pPr>
        <w:jc w:val="both"/>
        <w:ind w:left="100" w:right="140"/>
        <w:spacing w:after="0" w:line="312" w:lineRule="auto"/>
        <w:rPr>
          <w:sz w:val="20"/>
          <w:szCs w:val="20"/>
          <w:color w:val="auto"/>
        </w:rPr>
      </w:pPr>
      <w:r>
        <w:rPr>
          <w:rFonts w:ascii="Arial" w:cs="Arial" w:eastAsia="Arial" w:hAnsi="Arial"/>
          <w:sz w:val="16"/>
          <w:szCs w:val="16"/>
          <w:color w:val="auto"/>
        </w:rPr>
        <w:t>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Inc.,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Inc.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offered by the selling stockholders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12,000,000 shares.</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w w:val="95"/>
              </w:rPr>
              <w:t>Underwriters’ option to purchase additional shares of</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Certain of the selling stockholders have granted the underwriters a</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30-day option to purchase up to 1,800,000 additional shares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at the public offering price, less underwriting</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discounts and commissions.</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75,333,782 shares (as of June 30, 2018).</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5340" w:type="dxa"/>
            <w:vAlign w:val="bottom"/>
            <w:gridSpan w:val="3"/>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See “Risk Factors” beginning on page </w:t>
            </w:r>
            <w:hyperlink w:anchor="page31">
              <w:r>
                <w:rPr>
                  <w:rFonts w:ascii="Arial" w:cs="Arial" w:eastAsia="Arial" w:hAnsi="Arial"/>
                  <w:sz w:val="18"/>
                  <w:szCs w:val="18"/>
                  <w:color w:val="0000EE"/>
                  <w:w w:val="99"/>
                </w:rPr>
                <w:t>21</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and other information</w:t>
            </w:r>
          </w:p>
        </w:tc>
      </w:tr>
      <w:tr>
        <w:trPr>
          <w:trHeight w:val="20"/>
        </w:trPr>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4020" w:type="dxa"/>
            <w:vAlign w:val="bottom"/>
          </w:tcPr>
          <w:p>
            <w:pPr>
              <w:spacing w:after="0"/>
              <w:rPr>
                <w:sz w:val="19"/>
                <w:szCs w:val="19"/>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included, and incorporated by reference, in this prospectus for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invest in our common stock.</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Dividend policy</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We do not currently anticipate paying any dividends on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board of directors, or Board of Directors, and will depend on various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factors. See “Dividend Policy.”</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Conflicts of Interest</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Affiliates of KKR Sponsor beneficially own (through investment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KKR Vision Aggregator L.P.) in excess of 10% of our issued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outstanding common stock. Because KKR Capital Markets LLC, an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affiliate of KKR Sponsor, is an underwriter in this offering and its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affiliates own in excess of 10% of our issued and outstanding</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KKR Capital Markets LLC is deemed to have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“conflict of interest” under Rule 5121, or Rule 5121, of the Financial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Industry Regulatory Authority, Inc., or FINRA. Accordingly,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offering is being made in compliance with the requirements of Rule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5121. Pursuant to that rule, the appointment of a “qualified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independent underwriter” is not required in connection with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offering as a bona fide public market exists in the shares, as that term</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is defined in Rule 5121. See “Underwriting (Conflicts of Interest).”</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NASDAQ ticker symbol</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“EYE”</w:t>
            </w:r>
          </w:p>
        </w:tc>
      </w:tr>
    </w:tbl>
    <w:p>
      <w:pPr>
        <w:spacing w:after="0" w:line="94" w:lineRule="exact"/>
        <w:rPr>
          <w:sz w:val="20"/>
          <w:szCs w:val="20"/>
          <w:color w:val="auto"/>
        </w:rPr>
      </w:pPr>
    </w:p>
    <w:p>
      <w:pPr>
        <w:ind w:left="100" w:right="260" w:firstLine="360"/>
        <w:spacing w:after="0" w:line="277" w:lineRule="auto"/>
        <w:rPr>
          <w:sz w:val="20"/>
          <w:szCs w:val="20"/>
          <w:color w:val="auto"/>
        </w:rPr>
      </w:pPr>
      <w:r>
        <w:rPr>
          <w:rFonts w:ascii="Arial" w:cs="Arial" w:eastAsia="Arial" w:hAnsi="Arial"/>
          <w:sz w:val="18"/>
          <w:szCs w:val="18"/>
          <w:color w:val="auto"/>
        </w:rPr>
        <w:t>Unless we indicate otherwise or the context otherwise requires, all information in this prospectus reflects and assumes no exercise of the underwriters’ option to purchase 1,800,000 additional shares of our common stock.</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562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2825" cy="3562985"/>
                    </a:xfrm>
                    <a:prstGeom prst="rect">
                      <a:avLst/>
                    </a:prstGeom>
                    <a:noFill/>
                  </pic:spPr>
                </pic:pic>
              </a:graphicData>
            </a:graphic>
          </wp:anchor>
        </w:drawing>
      </w:r>
    </w:p>
    <w:p>
      <w:pPr>
        <w:spacing w:after="0" w:line="246"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75,333,782 shares of our common stock outstanding as of June 30, 2018, including 11,353 shares of restricted stock outstanding, and does not reflect:</w:t>
      </w:r>
    </w:p>
    <w:p>
      <w:pPr>
        <w:spacing w:after="0" w:line="73" w:lineRule="exact"/>
        <w:rPr>
          <w:sz w:val="20"/>
          <w:szCs w:val="20"/>
          <w:color w:val="auto"/>
        </w:rPr>
      </w:pPr>
    </w:p>
    <w:p>
      <w:pPr>
        <w:ind w:left="800" w:right="40" w:hanging="342"/>
        <w:spacing w:after="0" w:line="270"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9,555,877 shares of common stock issuable upon the exercise of options outstanding as of June 30, 2018, (1) of which 1,857,713 were then vested and exercisable and (2) of which 3,322,615 were time-based options and 6,233,262 were performance-based options. The performance-based options (other than 217,390 performance-based options held by Jeff McAllister, which have different vesting terms and 43,478 of which have vested) have not previously vested and are eligible to vest only upon affiliates of KKR Sponsor achieving certain internal rate of return threshold and multiples of invested capital. We expect that certain performance-based options will vest upon the consummation of this offering. See “Executive Compensation—Narrative to Summary Compensation Table and 2017 Grants of Plan-Based Awards— Equity Awards” in our Annual Report, which is incorporated herein by reference, for additional details around vesting terms;</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172,682 restricted stock units outstanding as of June 30, 2018;</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4,151,748 shares of common stock available for issuance under our 2014 Stock Incentive Plan and our 2017 Omnibus Incentive Plan;</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850,000 shares of common stock available for issuance under our 2018 Associate Stock Purchase Plan;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117" w:lineRule="exact"/>
        <w:rPr>
          <w:sz w:val="20"/>
          <w:szCs w:val="20"/>
          <w:color w:val="auto"/>
        </w:rPr>
      </w:pPr>
    </w:p>
    <w:p>
      <w:pPr>
        <w:ind w:left="100" w:firstLine="360"/>
        <w:spacing w:after="0" w:line="279" w:lineRule="auto"/>
        <w:rPr>
          <w:sz w:val="20"/>
          <w:szCs w:val="20"/>
          <w:color w:val="auto"/>
        </w:rPr>
      </w:pPr>
      <w:r>
        <w:rPr>
          <w:rFonts w:ascii="Arial" w:cs="Arial" w:eastAsia="Arial" w:hAnsi="Arial"/>
          <w:sz w:val="17"/>
          <w:szCs w:val="17"/>
          <w:color w:val="auto"/>
        </w:rPr>
        <w:t>As noted above, we expect that certain performance-based options will vest upon the consummation of this offering. In connection with this vesting event, we expect to incur between $7.0 million to $9.0 million of stock-based compensation expense. We also expect to incur a cash expense of between $3.5 million to $4.5 million relating to the payment, in connection with this offering, of cash-based compensation pursuant to an incentive plan for non-executive management.</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20" w:firstLine="360"/>
        <w:spacing w:after="0" w:line="286"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summary historical financial data as of March 31, 2018 and for the three months ended April 1, 2017 and March 31, 2018 has been derived from our unaudited condensed consolidated financial statements and related notes thereto incorporated by reference in this prospectus, and the summary historical financial data as of April 1, 2017 has been derived from our unaudited condensed consolidated financial statements and related notes thereto not included or incorporated by reference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61" w:lineRule="exact"/>
        <w:rPr>
          <w:sz w:val="20"/>
          <w:szCs w:val="20"/>
          <w:color w:val="auto"/>
        </w:rPr>
      </w:pPr>
    </w:p>
    <w:p>
      <w:pPr>
        <w:ind w:left="100" w:right="20" w:firstLine="360"/>
        <w:spacing w:after="0" w:line="27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“Capitalization” in this prospectus, as well as the section entitled “Selected Financial Data” and “Management’s Discussion and Analysis of Financial Condition and Results of Operations” and our audited consolidated financial statements and related notes thereto in the Annual Report and “Management’s Discussion and Analysis of Financial Condition and Results of Operations” and our unaudited condensed consolidated financial statements and related notes thereto in the Quarterly Report, each of which is incorporated by reference in this prospectus.</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Net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1,062,528</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1,196,195</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1,375,308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369,859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407,975</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Costs applicable to revenue</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491,100</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544,781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636,966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180,454</w:t>
            </w:r>
          </w:p>
        </w:tc>
        <w:tc>
          <w:tcPr>
            <w:tcW w:w="80" w:type="dxa"/>
            <w:vAlign w:val="bottom"/>
            <w:shd w:val="clear" w:color="auto" w:fill="CCEEFF"/>
          </w:tcPr>
          <w:p>
            <w:pPr>
              <w:spacing w:after="0"/>
              <w:rPr>
                <w:sz w:val="20"/>
                <w:szCs w:val="20"/>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526,751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585,030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67,236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39,643</w:t>
            </w:r>
          </w:p>
        </w:tc>
        <w:tc>
          <w:tcPr>
            <w:tcW w:w="80" w:type="dxa"/>
            <w:vAlign w:val="bottom"/>
            <w:shd w:val="clear" w:color="auto" w:fill="CCEEFF"/>
          </w:tcPr>
          <w:p>
            <w:pPr>
              <w:spacing w:after="0"/>
              <w:rPr>
                <w:sz w:val="19"/>
                <w:szCs w:val="19"/>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9,313</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Earnings before income taxes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30,330</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(38,647)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8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14,758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45,820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17,070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25,047</w:t>
            </w:r>
          </w:p>
        </w:tc>
        <w:tc>
          <w:tcPr>
            <w:tcW w:w="8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56,185</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74,714</w:t>
            </w:r>
          </w:p>
        </w:tc>
        <w:tc>
          <w:tcPr>
            <w:tcW w:w="8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77,837</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Cash Flow Data:</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83,131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97,588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90,252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46,505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77,787</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CEEFF"/>
          </w:tcPr>
          <w:p>
            <w:pPr>
              <w:spacing w:after="0" w:line="249" w:lineRule="exact"/>
              <w:rPr>
                <w:sz w:val="20"/>
                <w:szCs w:val="20"/>
                <w:color w:val="auto"/>
              </w:rPr>
            </w:pPr>
            <w:r>
              <w:rPr>
                <w:rFonts w:ascii="Arial" w:cs="Arial" w:eastAsia="Arial" w:hAnsi="Arial"/>
                <w:sz w:val="16"/>
                <w:szCs w:val="16"/>
                <w:color w:val="auto"/>
              </w:rPr>
              <w:t>Net cash used for investing activities</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(94,584)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(20,703)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(22,676)</w:t>
            </w: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30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92825" cy="6830695"/>
                    </a:xfrm>
                    <a:prstGeom prst="rect">
                      <a:avLst/>
                    </a:prstGeom>
                    <a:noFill/>
                  </pic:spPr>
                </pic:pic>
              </a:graphicData>
            </a:graphic>
          </wp:anchor>
        </w:drawing>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1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(Unaudited)</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(Unaudited)</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5,595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4,945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4,208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29,912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58,433</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1,475,595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1,531,117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1,583,791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1,568,859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1,644,554</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747,825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745,625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569,238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920,020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569,326</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386,230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401,887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659,588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249,965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711,275</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Other Financial Data (unaudited)</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Number of stores open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CEEFF"/>
          </w:tcPr>
          <w:p>
            <w:pPr>
              <w:spacing w:after="0"/>
              <w:rPr>
                <w:sz w:val="20"/>
                <w:szCs w:val="20"/>
                <w:color w:val="auto"/>
              </w:rPr>
            </w:pPr>
          </w:p>
        </w:tc>
      </w:tr>
      <w:tr>
        <w:trPr>
          <w:trHeight w:val="230"/>
        </w:trPr>
        <w:tc>
          <w:tcPr>
            <w:tcW w:w="3620" w:type="dxa"/>
            <w:vAlign w:val="bottom"/>
            <w:gridSpan w:val="2"/>
          </w:tcPr>
          <w:p>
            <w:pPr>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112,585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137,774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159,721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58,906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61,089</w:t>
            </w:r>
          </w:p>
        </w:tc>
        <w:tc>
          <w:tcPr>
            <w:tcW w:w="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6"/>
                <w:szCs w:val="26"/>
                <w:color w:val="auto"/>
                <w:vertAlign w:val="superscript"/>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23,263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26,870</w:t>
            </w:r>
          </w:p>
        </w:tc>
        <w:tc>
          <w:tcPr>
            <w:tcW w:w="80" w:type="dxa"/>
            <w:vAlign w:val="bottom"/>
            <w:shd w:val="clear" w:color="auto" w:fill="CCEEFF"/>
          </w:tcPr>
          <w:p>
            <w:pPr>
              <w:spacing w:after="0"/>
              <w:rPr>
                <w:sz w:val="19"/>
                <w:szCs w:val="19"/>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right="20" w:hanging="353"/>
        <w:spacing w:after="0" w:line="247"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November 2016, the FASB issued ASU No. 2016-18, Restricted Cash, which requires that a statement of cash flows explain the change during the period in the total of cash, cash equivalents, and amounts generally described as restricted cash or restricted cash equivalents. This new guidance is effective in fiscal years, including interim periods, beginning after December 15, 2017 and should be applied using a retrospective transition method to each period presented. We adopted this new guidance during the first quarter of 2018, which resulted in an immaterial decrease in net cash used for investing activities of $692,000 and $243,000 for years ended December 31, 2016 and December 30, 2017, respectively. The adoption of this new guidance did not have a material effect on our financial condition or results of operations.</w:t>
      </w:r>
    </w:p>
    <w:p>
      <w:pPr>
        <w:spacing w:after="0" w:line="86" w:lineRule="exact"/>
        <w:rPr>
          <w:rFonts w:ascii="Arial" w:cs="Arial" w:eastAsia="Arial" w:hAnsi="Arial"/>
          <w:sz w:val="14"/>
          <w:szCs w:val="14"/>
          <w:color w:val="auto"/>
        </w:rPr>
      </w:pPr>
    </w:p>
    <w:p>
      <w:pPr>
        <w:ind w:left="460" w:hanging="353"/>
        <w:spacing w:after="0" w:line="267" w:lineRule="auto"/>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other expenses, tax legislation adjustments, tax benefit of stock option exercises, less the tax effect of these adjustments. We describe these adjustments reconciling net income to Adjusted Net Income in the tables below.</w:t>
      </w:r>
    </w:p>
    <w:p>
      <w:pPr>
        <w:spacing w:after="0" w:line="65"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left="100" w:right="20" w:firstLine="360"/>
        <w:spacing w:after="0" w:line="28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2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92825" cy="6521450"/>
                    </a:xfrm>
                    <a:prstGeom prst="rect">
                      <a:avLst/>
                    </a:prstGeom>
                    <a:noFill/>
                  </pic:spPr>
                </pic:pic>
              </a:graphicData>
            </a:graphic>
          </wp:anchor>
        </w:drawing>
      </w:r>
    </w:p>
    <w:p>
      <w:pPr>
        <w:spacing w:after="0" w:line="246"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800" w:right="620" w:hanging="342"/>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spacing w:after="0" w:line="62" w:lineRule="exact"/>
        <w:rPr>
          <w:rFonts w:ascii="Arial" w:cs="Arial" w:eastAsia="Arial" w:hAnsi="Arial"/>
          <w:sz w:val="18"/>
          <w:szCs w:val="18"/>
          <w:color w:val="auto"/>
        </w:rPr>
      </w:pPr>
    </w:p>
    <w:p>
      <w:pPr>
        <w:ind w:left="800" w:right="660" w:hanging="342"/>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and Adjusted EBITDA do not reflect period to period changes in taxes, income tax expense or the cash necessary to pay income taxes;</w:t>
      </w:r>
    </w:p>
    <w:p>
      <w:pPr>
        <w:spacing w:after="0" w:line="62" w:lineRule="exact"/>
        <w:rPr>
          <w:rFonts w:ascii="Arial" w:cs="Arial" w:eastAsia="Arial" w:hAnsi="Arial"/>
          <w:sz w:val="18"/>
          <w:szCs w:val="18"/>
          <w:color w:val="auto"/>
        </w:rPr>
      </w:pPr>
    </w:p>
    <w:p>
      <w:pPr>
        <w:ind w:left="800" w:right="480" w:hanging="342"/>
        <w:spacing w:after="0" w:line="264"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3" w:lineRule="exact"/>
        <w:rPr>
          <w:rFonts w:ascii="Arial" w:cs="Arial" w:eastAsia="Arial" w:hAnsi="Arial"/>
          <w:sz w:val="18"/>
          <w:szCs w:val="18"/>
          <w:color w:val="auto"/>
        </w:rPr>
      </w:pPr>
    </w:p>
    <w:p>
      <w:pPr>
        <w:ind w:left="800" w:right="520" w:hanging="342"/>
        <w:spacing w:after="0" w:line="264"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3" w:lineRule="exact"/>
        <w:rPr>
          <w:rFonts w:ascii="Arial" w:cs="Arial" w:eastAsia="Arial" w:hAnsi="Arial"/>
          <w:sz w:val="18"/>
          <w:szCs w:val="18"/>
          <w:color w:val="auto"/>
        </w:rPr>
      </w:pPr>
    </w:p>
    <w:p>
      <w:pPr>
        <w:ind w:left="800" w:right="680" w:hanging="342"/>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2"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Ended April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Ended March 31,</w:t>
            </w:r>
          </w:p>
        </w:tc>
      </w:tr>
      <w:tr>
        <w:trPr>
          <w:trHeight w:val="178"/>
        </w:trPr>
        <w:tc>
          <w:tcPr>
            <w:tcW w:w="100" w:type="dxa"/>
            <w:vAlign w:val="bottom"/>
          </w:tcPr>
          <w:p>
            <w:pPr>
              <w:spacing w:after="0"/>
              <w:rPr>
                <w:sz w:val="15"/>
                <w:szCs w:val="15"/>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38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51,993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118,377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51,443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112,585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137,774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159,721</w:t>
            </w:r>
          </w:p>
        </w:tc>
        <w:tc>
          <w:tcPr>
            <w:tcW w:w="1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61,089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10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92"/>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3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2825" cy="763651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January 2,</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30,</w:t>
            </w: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Ended April 1,</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spacing w:after="0" w:line="206" w:lineRule="exact"/>
              <w:rPr>
                <w:sz w:val="20"/>
                <w:szCs w:val="20"/>
                <w:color w:val="auto"/>
              </w:rPr>
            </w:pPr>
            <w:r>
              <w:rPr>
                <w:rFonts w:ascii="Arial" w:cs="Arial" w:eastAsia="Arial" w:hAnsi="Arial"/>
                <w:sz w:val="18"/>
                <w:szCs w:val="18"/>
                <w:color w:val="auto"/>
                <w:w w:val="96"/>
              </w:rPr>
              <w:t>Amortization of acquisition intangibles and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(k)</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(l)</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(42,965)</w:t>
            </w: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(m)</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(15,044)</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(20,152)</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33,081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23,263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353"/>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60" w:hanging="353"/>
        <w:spacing w:after="0" w:line="286" w:lineRule="auto"/>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59" w:lineRule="exact"/>
        <w:rPr>
          <w:rFonts w:ascii="Arial" w:cs="Arial" w:eastAsia="Arial" w:hAnsi="Arial"/>
          <w:sz w:val="13"/>
          <w:szCs w:val="13"/>
          <w:color w:val="auto"/>
        </w:rPr>
      </w:pPr>
    </w:p>
    <w:p>
      <w:pPr>
        <w:ind w:left="460" w:right="40" w:hanging="353"/>
        <w:spacing w:after="0" w:line="257"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Expenses related to secondary public offering of our common stock during the three months ended March 31, 2018.</w:t>
      </w:r>
    </w:p>
    <w:p>
      <w:pPr>
        <w:spacing w:after="0" w:line="109" w:lineRule="exact"/>
        <w:rPr>
          <w:rFonts w:ascii="Arial" w:cs="Arial" w:eastAsia="Arial" w:hAnsi="Arial"/>
          <w:sz w:val="14"/>
          <w:szCs w:val="14"/>
          <w:color w:val="auto"/>
        </w:rPr>
      </w:pPr>
    </w:p>
    <w:p>
      <w:pPr>
        <w:ind w:left="460" w:hanging="353"/>
        <w:spacing w:after="0" w:line="24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$1.0 million, $0.1 million and $0.2 million for fiscal years 2015, 2016 and 2017 and the three months ended April 1, 2017 and March 31, 2018, respectively; the amortization impact of the KKR Acquisition-related adjustments (e.g., fair value of leasehold interests) of $(1.3) million, $(0.7) million, $(0.3) million, $(0.1) million and $17,000 for fiscal years 2015, 2016 and 2017 and the three months ended April 1, 2017 and March 31, 2018, respectively; expenses related to preparation for being an SEC registrant that were not directly attributable to the IPO and therefore not charged to equity of $0.5 million, $2.0 million, $1.8 million and $0.5 million for fiscal years 2015, 2016 and 2017 and the three months ended April 1, 2017, respectively; differences between the timing of expense versus cash payments related to contributions to charitable organizations of $3.0 million, $(1.0) million, $(1.0) million, $(0.3) million and $(0.3) million for fiscal years 2015, 2016 and 2017 and the three months ended April 1, 2017 and March 31, 2018, respectively; costs of severance and relocation of $0.5 million, $1.1 million, $1.4 million, $16,000 and $0.2 million for fiscal years 2015, 2016 and 2017 and the three months ended April 1, 2017 and March 31, 2018, respectively; non-cash write-down</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293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2825" cy="2293620"/>
                    </a:xfrm>
                    <a:prstGeom prst="rect">
                      <a:avLst/>
                    </a:prstGeom>
                    <a:noFill/>
                  </pic:spPr>
                </pic:pic>
              </a:graphicData>
            </a:graphic>
          </wp:anchor>
        </w:drawing>
      </w:r>
    </w:p>
    <w:p>
      <w:pPr>
        <w:spacing w:after="0" w:line="255" w:lineRule="exact"/>
        <w:rPr>
          <w:sz w:val="20"/>
          <w:szCs w:val="20"/>
          <w:color w:val="auto"/>
        </w:rPr>
      </w:pPr>
    </w:p>
    <w:p>
      <w:pPr>
        <w:ind w:left="460"/>
        <w:spacing w:after="0" w:line="257" w:lineRule="auto"/>
        <w:rPr>
          <w:sz w:val="20"/>
          <w:szCs w:val="20"/>
          <w:color w:val="auto"/>
        </w:rPr>
      </w:pPr>
      <w:r>
        <w:rPr>
          <w:rFonts w:ascii="Arial" w:cs="Arial" w:eastAsia="Arial" w:hAnsi="Arial"/>
          <w:sz w:val="14"/>
          <w:szCs w:val="14"/>
          <w:color w:val="auto"/>
        </w:rPr>
        <w:t>of property and equipment of $0.2 million, $0.2 million and $0.4 million for fiscal years 2015, 2016 and 2017, respectively; and other expenses and adjustments totaling $0.8 million, $0.6 million, $0.6 million, $0.1 million and $0.1 million for fiscal years 2015, 2016 and 2017 and the three months ended April 1, 2017 and March 31, 2018, respectively.</w:t>
      </w:r>
    </w:p>
    <w:p>
      <w:pPr>
        <w:spacing w:after="0" w:line="77" w:lineRule="exact"/>
        <w:rPr>
          <w:sz w:val="20"/>
          <w:szCs w:val="20"/>
          <w:color w:val="auto"/>
        </w:rPr>
      </w:pPr>
    </w:p>
    <w:p>
      <w:pPr>
        <w:ind w:left="460" w:hanging="353"/>
        <w:spacing w:after="0" w:line="246"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and $1.9 million for each of the three months ended April 1, 2017 and March 31, 2018.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and $1.0 million and $0.4 million for the three months ended April 1, 2017 and March 31, 2018, respectively. The $7.1 million amortization of deferred financing costs in 2017 includes $3.3 million of the write-off of debt discounts associated with the repayment of all outstanding $125 million of second lien term loans in November 2017.</w:t>
      </w:r>
    </w:p>
    <w:p>
      <w:pPr>
        <w:spacing w:after="0" w:line="84" w:lineRule="exact"/>
        <w:rPr>
          <w:rFonts w:ascii="Arial" w:cs="Arial" w:eastAsia="Arial" w:hAnsi="Arial"/>
          <w:sz w:val="14"/>
          <w:szCs w:val="14"/>
          <w:color w:val="auto"/>
        </w:rPr>
      </w:pPr>
    </w:p>
    <w:p>
      <w:pPr>
        <w:ind w:left="460" w:right="60" w:hanging="353"/>
        <w:spacing w:after="0" w:line="257"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460" w:right="320" w:hanging="353"/>
        <w:spacing w:after="0" w:line="312" w:lineRule="auto"/>
        <w:tabs>
          <w:tab w:leader="none" w:pos="4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statutory effective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“Prospectus Summary—Summary Historical Consolidated Financial and Other Data” contained elsewhere in this prospectus, “Risk Factors,” “Management’s Discussion and Analysis of Financial Condition and Results of Operations” and our audited consolidated financial statements and related notes thereto in our Annual Report and “Management’s Discussion and Analysis of Financial Condition and Results of Operations” and our unaudited condensed consolidated financial statements and related notes thereto in our Quarterly Report, each of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08"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spacing w:after="0" w:line="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Upon the consummation of this offering, we will have a total of 75,333,782 shares of our common stock outstanding. Of the outstanding shares, the 43,970,000 shares sold in the IPO, in the secondary offering of our common stock in March 2018 and in this offering (or 45,770,000 shares if the underwriters exercise in full their option to purchase additional shares in this offering) will be freely tradable without restriction or further registration under the Securities Act of 1933, as amended, or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Of these shares, 826,457 shares (or 950,425 shares if the underwriters exercise in full their option to purchase additional shares in this offering) are held by non-executive officers and non-directors and, as such, may be sold during the 60-day lock-up period after this offering, subject to compliance with our securities trading policy and applicable securities laws. In addition, two of our executive officers, Reade Fahs and Jeff Busbee, will have the transfer restrictions in their management stockholder’s agreements waived with respect to 30,000 shares and 3,750 shares, respectively, which shares may be transferred during the 60-day lock-up period after this offering, subject to compliance with our securities trading policy and applicable securities laws.</w:t>
      </w:r>
    </w:p>
    <w:p>
      <w:pPr>
        <w:spacing w:after="0" w:line="7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29,672,309 shares of common stock (or 27,872,309 shares if the underwriters exercise in full their option to purchase additional shares) held by affiliates of KKR Sponsor, affiliates of Berkshire and our directors and executive officers after this offering, representing 39.4% (or 37.0% if the underwriters exercise in full their option to purchase additional shares)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8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shares of common stock, each held by them for 60 days following the date of this prospectus, except with the prior written consent of any two of Merrill Lynch, Pierce, Fenner &amp; Smith Incorporated, Citigroup Global Markets Inc. and Goldman Sachs &amp; Co. LLC. See “Underwriting (Conflicts of Interest)” for a description of these lock-up agreements.</w:t>
      </w:r>
    </w:p>
    <w:p>
      <w:pPr>
        <w:spacing w:after="0" w:line="73"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 based on their expected share ownership, as well as their board nomination rights. We also expect that Berkshire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46"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41.5% of our total common stock outstanding (or 38.9%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June 30, 2018, there were stock options outstanding to purchase a total of 9,555,877 shares of our common stock and 172,682 shares of our common stock subject to restricted stock units. In addition, as of June 30, 2018, 4,151,748 shares of our common stock were reserved for future issuance under our incentive plans. In addition, our Board of Directors and stockholders have approved the adoption of our 2018 Associate Stock Purchase Plan, and we have reserved a total of 850,000 shares of our common stock for issuance thereunder.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After the completion of this offering, we will no longer qualify as a “controlled company” within the meaning of NASDAQ rules and the rules of the SEC. As a result, we must comply with certain corporate governance requirements within one year or less of the completion of this offering but will remain exempt from those requirements during the interim period.</w:t>
      </w:r>
    </w:p>
    <w:p>
      <w:pPr>
        <w:spacing w:after="0" w:line="5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After completion of this offering, our Sponsors will no longer control a majority of the voting power of our outstanding common stock. As a result, we will no longer be a “controlled company” within the meaning of the corporate governance standards of NASDAQ and we will be required to comply with certain corporate governance requirements within one year or less of the completion of this offering, including the requirements that:</w:t>
      </w:r>
    </w:p>
    <w:p>
      <w:pPr>
        <w:spacing w:after="0" w:line="79"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6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a majority of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Currently, we do not have a majority of independent directors, our compensation committee does not consist entirely of independent directors and our director nominations are not made, or recommended to the full Board of Directors, by a majority of our independent directors and we do not have a nominating/corporate governance committee. Accordingly, until this interim period is completed, you will not have the same protections afforded to stockholders of companies that are subject to all of the corporate governance requirements of NASDAQ.</w:t>
      </w:r>
    </w:p>
    <w:p>
      <w:pPr>
        <w:spacing w:after="0" w:line="18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Our Sponsors have the ability to exert substantial influence over us and their interests may conflict with ours or yours in the future.</w:t>
      </w:r>
    </w:p>
    <w:p>
      <w:pPr>
        <w:spacing w:after="0" w:line="6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Immediately following this offering, the Sponsors will beneficially own 37.5% of our common stock, or 35.2% if the underwriters exercise in full their option to purchase additional shares. As a result, the Sponsors will have the ability to exert substantial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use their influence to have us pursue acquisitions that increase our indebtedness or sales of revenue-generating assets.</w:t>
      </w:r>
    </w:p>
    <w:p>
      <w:pPr>
        <w:spacing w:after="0" w:line="5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the Sponsors and their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2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ind w:left="700" w:right="20" w:hanging="356"/>
        <w:spacing w:after="0" w:line="22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shares of common stock entitled to vote generally in the election of directors if the Sponsors and their affiliates cease to beneficially own at least 40% of shares of common stock entitled to vote generally in the election of directors, which we expect to occur upon the completion of this offering; and</w:t>
      </w:r>
    </w:p>
    <w:p>
      <w:pPr>
        <w:spacing w:after="0" w:line="87" w:lineRule="exact"/>
        <w:rPr>
          <w:rFonts w:ascii="Arial" w:cs="Arial" w:eastAsia="Arial" w:hAnsi="Arial"/>
          <w:sz w:val="18"/>
          <w:szCs w:val="18"/>
          <w:color w:val="auto"/>
        </w:rPr>
      </w:pPr>
    </w:p>
    <w:p>
      <w:pPr>
        <w:ind w:left="700" w:right="80" w:hanging="356"/>
        <w:spacing w:after="0" w:line="22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 which we expect to occur upon the completion of this offering.</w:t>
      </w:r>
    </w:p>
    <w:p>
      <w:pPr>
        <w:spacing w:after="0" w:line="9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and “Management’s Discussion and Analysis of Financial Condition and Results of Operations” in our Quarterly Report, which are incorporated herein by reference. You should evaluate all forward-looking statements made, or incorporated by reference, in this prospectus in the context of these risks and uncertainties.</w:t>
      </w:r>
    </w:p>
    <w:p>
      <w:pPr>
        <w:spacing w:after="0" w:line="85"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Operations—Liquidity and Capital Resources— Debt” in our Annual Report, which is incorporated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June 30, 2018, there were 45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Stock Price</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Low</w:t>
            </w:r>
          </w:p>
        </w:tc>
      </w:tr>
      <w:tr>
        <w:trPr>
          <w:trHeight w:val="243"/>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Fourth Quarter ended December 30, 2017 (from October 26,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40.76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27.19</w:t>
            </w:r>
          </w:p>
        </w:tc>
      </w:tr>
      <w:tr>
        <w:trPr>
          <w:trHeight w:val="256"/>
        </w:trPr>
        <w:tc>
          <w:tcPr>
            <w:tcW w:w="20" w:type="dxa"/>
            <w:vAlign w:val="bottom"/>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29, 2018:</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First Quarter ended March 31,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31.49</w:t>
            </w:r>
          </w:p>
        </w:tc>
      </w:tr>
      <w:tr>
        <w:trPr>
          <w:trHeight w:val="249"/>
        </w:trPr>
        <w:tc>
          <w:tcPr>
            <w:tcW w:w="20" w:type="dxa"/>
            <w:vAlign w:val="bottom"/>
          </w:tcPr>
          <w:p>
            <w:pPr>
              <w:spacing w:after="0"/>
              <w:rPr>
                <w:sz w:val="21"/>
                <w:szCs w:val="21"/>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ended June 30,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w:t>
            </w: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Third Quarter ending September 29, 2018 (through July 20,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41.21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35.87</w:t>
            </w: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closing sale price per share of our common stock, as reported on the NASDAQ, on July 20, 2018 was $40.49.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2018.</w:t>
      </w:r>
    </w:p>
    <w:p>
      <w:pPr>
        <w:spacing w:after="0" w:line="117" w:lineRule="exact"/>
        <w:rPr>
          <w:sz w:val="20"/>
          <w:szCs w:val="20"/>
          <w:color w:val="auto"/>
        </w:rPr>
      </w:pPr>
    </w:p>
    <w:p>
      <w:pPr>
        <w:ind w:left="7" w:right="100" w:firstLine="360"/>
        <w:spacing w:after="0" w:line="279" w:lineRule="auto"/>
        <w:rPr>
          <w:sz w:val="20"/>
          <w:szCs w:val="20"/>
          <w:color w:val="auto"/>
        </w:rPr>
      </w:pPr>
      <w:r>
        <w:rPr>
          <w:rFonts w:ascii="Arial" w:cs="Arial" w:eastAsia="Arial" w:hAnsi="Arial"/>
          <w:sz w:val="17"/>
          <w:szCs w:val="17"/>
          <w:color w:val="auto"/>
        </w:rPr>
        <w:t>You should read this table in conjunction with the information contained in “Prospectus Summary—Summary Historical Consolidated Financial and Other Data” included elsewhere in this prospectus, as well as “Management’s Discussion and Analysis of Financial Condition and Results of Operations” and our unaudited condensed consolidated financial statements and related notes thereto in our Quarterly Report, which is incorporated by reference in the prospectus.</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9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Unamortized debt transaction costs and prepayment premiums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569,326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Common stock, $0.01 par value (200,000 shares authorized and 75,103 shares issued and outstanding)</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(53 shares)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711,275</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1,280,601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65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Operations—Liquidity and Capital Resources— Debt” in our Annual Report, which is incorporated herein by reference.</w:t>
      </w:r>
    </w:p>
    <w:p>
      <w:pPr>
        <w:spacing w:after="0" w:line="77" w:lineRule="exact"/>
        <w:rPr>
          <w:rFonts w:ascii="Arial" w:cs="Arial" w:eastAsia="Arial" w:hAnsi="Arial"/>
          <w:sz w:val="14"/>
          <w:szCs w:val="14"/>
          <w:color w:val="auto"/>
        </w:rPr>
      </w:pPr>
    </w:p>
    <w:p>
      <w:pPr>
        <w:jc w:val="both"/>
        <w:ind w:left="347" w:right="180" w:hanging="347"/>
        <w:spacing w:after="0" w:line="286" w:lineRule="auto"/>
        <w:tabs>
          <w:tab w:leader="none" w:pos="347"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of March 31, 2018, we had no outstanding borrowings and $5.5 million in outstanding letters of credit under our first lien revolving credit facility, which matures on October 15, 2022. For a further description of our first lien credit agreement, see “Management’s Discussion and Analysis of Financial Condition and Results of Operations—Liquidity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firstLine="360"/>
        <w:spacing w:after="0" w:line="27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Sponsors.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grants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9"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After the completion of this offering, we expect that affiliates of KKR Sponsor and affiliates of Berkshire will hold 30.4% and 7.1%, respectively (or 28.5% and 6.7%, respectively, if the underwriters exercise in full their option to purchase additional shares) of the total outstanding shares of our common stock following this offering.</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KKR Acquisition, we entered into a registration rights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Monitoring Agreement. </w:t>
      </w:r>
      <w:r>
        <w:rPr>
          <w:rFonts w:ascii="Arial" w:cs="Arial" w:eastAsia="Arial" w:hAnsi="Arial"/>
          <w:sz w:val="18"/>
          <w:szCs w:val="18"/>
          <w:color w:val="auto"/>
        </w:rPr>
        <w:t>In connection with the KKR Acquisition, NVI entered into a monitoring agreement (the “Monitoring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KKR Sponsor and Berkshire pursuant to which the Sponsors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8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7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80" w:lineRule="exact"/>
        <w:rPr>
          <w:sz w:val="20"/>
          <w:szCs w:val="20"/>
          <w:color w:val="auto"/>
        </w:rPr>
      </w:pPr>
    </w:p>
    <w:p>
      <w:pPr>
        <w:jc w:val="both"/>
        <w:ind w:right="440" w:firstLine="360"/>
        <w:spacing w:after="0" w:line="312" w:lineRule="auto"/>
        <w:rPr>
          <w:sz w:val="20"/>
          <w:szCs w:val="20"/>
          <w:color w:val="auto"/>
        </w:rPr>
      </w:pPr>
      <w:r>
        <w:rPr>
          <w:rFonts w:ascii="Arial" w:cs="Arial" w:eastAsia="Arial" w:hAnsi="Arial"/>
          <w:sz w:val="16"/>
          <w:szCs w:val="16"/>
          <w:b w:val="1"/>
          <w:bCs w:val="1"/>
          <w:i w:val="1"/>
          <w:iCs w:val="1"/>
          <w:color w:val="auto"/>
        </w:rPr>
        <w:t xml:space="preserve">Relationship with KKR Capital Markets. </w:t>
      </w:r>
      <w:r>
        <w:rPr>
          <w:rFonts w:ascii="Arial" w:cs="Arial" w:eastAsia="Arial" w:hAnsi="Arial"/>
          <w:sz w:val="16"/>
          <w:szCs w:val="16"/>
          <w:color w:val="auto"/>
        </w:rPr>
        <w:t>KKR Capital Markets LLC (“KCM”), an affiliate of KKR Sponsor, acted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arranger and bookrunner for various financing transactions under our first lien and second lien credit agreements, and received underwriter and transaction fees totaling approximately $2.6 million in fiscal year 2017 and $2.0 million in fiscal year 2015.</w:t>
      </w:r>
    </w:p>
    <w:p>
      <w:pPr>
        <w:spacing w:after="0" w:line="39"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KCM acted as an underwriter in our IPO and received underwriting discounts and commissions of $4.8 million. KCM also acted as an underwriter in connection with the secondary offering of our common stock in March 2018 and received fees of approximately $3.0 million.</w:t>
      </w:r>
    </w:p>
    <w:p>
      <w:pPr>
        <w:spacing w:after="0" w:line="7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KKR Corporate Lending LLC, an affiliate of KCM, has been a participating lender under our revolving credit facility since 2014, and as of March 31, 2018, had received interest payments of approximately $0.9 million.</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 As of March 31, 2018, investments funds or accounts managed or advised by KKR Credit no longer held our term loans and have received no principal or interest payments.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58"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b w:val="1"/>
          <w:bCs w:val="1"/>
          <w:i w:val="1"/>
          <w:iCs w:val="1"/>
          <w:color w:val="auto"/>
        </w:rPr>
        <w:t xml:space="preserve">Agreements with Directors and Officers. </w:t>
      </w:r>
      <w:r>
        <w:rPr>
          <w:rFonts w:ascii="Arial" w:cs="Arial" w:eastAsia="Arial" w:hAnsi="Arial"/>
          <w:sz w:val="17"/>
          <w:szCs w:val="17"/>
          <w:color w:val="auto"/>
        </w:rPr>
        <w:t>In addition, we have certain agreements with our directors and officers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Part III. Item 11. “Executive Compensation” of our Annual Report incorporated by reference herein.</w:t>
      </w:r>
    </w:p>
    <w:p>
      <w:pPr>
        <w:spacing w:after="0" w:line="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16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June 30, 2018 and are based on 75,333,782 shares of our common stock, par value $0.01 per share, outstanding as of June 30,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9"/>
              </w:rPr>
              <w:t>Shares to be Sold in this Offering</w:t>
            </w:r>
          </w:p>
        </w:tc>
        <w:tc>
          <w:tcPr>
            <w:tcW w:w="180" w:type="dxa"/>
            <w:vAlign w:val="bottom"/>
          </w:tcPr>
          <w:p>
            <w:pPr>
              <w:spacing w:after="0"/>
              <w:rPr>
                <w:sz w:val="14"/>
                <w:szCs w:val="14"/>
                <w:color w:val="auto"/>
              </w:rPr>
            </w:pPr>
          </w:p>
        </w:tc>
        <w:tc>
          <w:tcPr>
            <w:tcW w:w="3360" w:type="dxa"/>
            <w:vAlign w:val="bottom"/>
            <w:tcBorders>
              <w:bottom w:val="single" w:sz="8" w:color="auto"/>
            </w:tcBorders>
            <w:gridSpan w:val="7"/>
          </w:tcPr>
          <w:p>
            <w:pPr>
              <w:jc w:val="right"/>
              <w:ind w:right="292"/>
              <w:spacing w:after="0"/>
              <w:rPr>
                <w:sz w:val="20"/>
                <w:szCs w:val="20"/>
                <w:color w:val="auto"/>
              </w:rPr>
            </w:pPr>
            <w:r>
              <w:rPr>
                <w:rFonts w:ascii="Arial" w:cs="Arial" w:eastAsia="Arial" w:hAnsi="Arial"/>
                <w:sz w:val="14"/>
                <w:szCs w:val="14"/>
                <w:b w:val="1"/>
                <w:bCs w:val="1"/>
                <w:color w:val="auto"/>
                <w:w w:val="99"/>
              </w:rPr>
              <w:t>Shares Beneficially Owned After the Offering</w:t>
            </w:r>
          </w:p>
        </w:tc>
        <w:tc>
          <w:tcPr>
            <w:tcW w:w="100" w:type="dxa"/>
            <w:vAlign w:val="bottom"/>
          </w:tcPr>
          <w:p>
            <w:pPr>
              <w:spacing w:after="0"/>
              <w:rPr>
                <w:sz w:val="14"/>
                <w:szCs w:val="14"/>
                <w:color w:val="auto"/>
              </w:rPr>
            </w:pPr>
          </w:p>
        </w:tc>
      </w:tr>
      <w:tr>
        <w:trPr>
          <w:trHeight w:val="156"/>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4"/>
              </w:rPr>
              <w:t>Assuming No</w:t>
            </w:r>
          </w:p>
        </w:tc>
        <w:tc>
          <w:tcPr>
            <w:tcW w:w="16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7"/>
              </w:rPr>
              <w:t>Assuming Full</w:t>
            </w:r>
          </w:p>
        </w:tc>
        <w:tc>
          <w:tcPr>
            <w:tcW w:w="180" w:type="dxa"/>
            <w:vAlign w:val="bottom"/>
          </w:tcPr>
          <w:p>
            <w:pPr>
              <w:spacing w:after="0"/>
              <w:rPr>
                <w:sz w:val="13"/>
                <w:szCs w:val="13"/>
                <w:color w:val="auto"/>
              </w:rPr>
            </w:pPr>
          </w:p>
        </w:tc>
        <w:tc>
          <w:tcPr>
            <w:tcW w:w="1780" w:type="dxa"/>
            <w:vAlign w:val="bottom"/>
            <w:gridSpan w:val="4"/>
          </w:tcPr>
          <w:p>
            <w:pPr>
              <w:jc w:val="center"/>
              <w:ind w:right="180"/>
              <w:spacing w:after="0" w:line="156" w:lineRule="exact"/>
              <w:rPr>
                <w:sz w:val="20"/>
                <w:szCs w:val="20"/>
                <w:color w:val="auto"/>
              </w:rPr>
            </w:pPr>
            <w:r>
              <w:rPr>
                <w:rFonts w:ascii="Arial" w:cs="Arial" w:eastAsia="Arial" w:hAnsi="Arial"/>
                <w:sz w:val="14"/>
                <w:szCs w:val="14"/>
                <w:b w:val="1"/>
                <w:bCs w:val="1"/>
                <w:color w:val="auto"/>
                <w:w w:val="84"/>
              </w:rPr>
              <w:t>Assuming No</w:t>
            </w:r>
          </w:p>
        </w:tc>
        <w:tc>
          <w:tcPr>
            <w:tcW w:w="1680" w:type="dxa"/>
            <w:vAlign w:val="bottom"/>
            <w:gridSpan w:val="4"/>
          </w:tcPr>
          <w:p>
            <w:pPr>
              <w:jc w:val="right"/>
              <w:ind w:right="460"/>
              <w:spacing w:after="0" w:line="156" w:lineRule="exact"/>
              <w:rPr>
                <w:sz w:val="20"/>
                <w:szCs w:val="20"/>
                <w:color w:val="auto"/>
              </w:rPr>
            </w:pPr>
            <w:r>
              <w:rPr>
                <w:rFonts w:ascii="Arial" w:cs="Arial" w:eastAsia="Arial" w:hAnsi="Arial"/>
                <w:sz w:val="14"/>
                <w:szCs w:val="14"/>
                <w:b w:val="1"/>
                <w:bCs w:val="1"/>
                <w:color w:val="auto"/>
              </w:rPr>
              <w:t>Assuming Full</w:t>
            </w:r>
          </w:p>
        </w:tc>
      </w:tr>
      <w:tr>
        <w:trPr>
          <w:trHeight w:val="149"/>
        </w:trPr>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80" w:type="dxa"/>
            <w:vAlign w:val="bottom"/>
          </w:tcPr>
          <w:p>
            <w:pPr>
              <w:spacing w:after="0"/>
              <w:rPr>
                <w:sz w:val="12"/>
                <w:szCs w:val="12"/>
                <w:color w:val="auto"/>
              </w:rPr>
            </w:pP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6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Exercise of the</w:t>
            </w:r>
          </w:p>
        </w:tc>
      </w:tr>
      <w:tr>
        <w:trPr>
          <w:trHeight w:val="149"/>
        </w:trPr>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80" w:type="dxa"/>
            <w:vAlign w:val="bottom"/>
          </w:tcPr>
          <w:p>
            <w:pPr>
              <w:spacing w:after="0"/>
              <w:rPr>
                <w:sz w:val="12"/>
                <w:szCs w:val="12"/>
                <w:color w:val="auto"/>
              </w:rPr>
            </w:pP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6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rPr>
              <w:t>Underwriters’</w:t>
            </w:r>
          </w:p>
        </w:tc>
      </w:tr>
      <w:tr>
        <w:trPr>
          <w:trHeight w:val="161"/>
        </w:trPr>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the Offering</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r>
      <w:tr>
        <w:trPr>
          <w:trHeight w:val="156"/>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84"/>
              </w:rPr>
              <w:t>Percentage</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4"/>
              </w:rPr>
              <w:t>Percentage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Total</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Total</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8"/>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r>
      <w:tr>
        <w:trPr>
          <w:trHeight w:val="189"/>
        </w:trPr>
        <w:tc>
          <w:tcPr>
            <w:tcW w:w="1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980" w:type="dxa"/>
            <w:vAlign w:val="bottom"/>
            <w:gridSpan w:val="3"/>
          </w:tcPr>
          <w:p>
            <w:pPr>
              <w:spacing w:after="0" w:line="189" w:lineRule="exact"/>
              <w:rPr>
                <w:sz w:val="20"/>
                <w:szCs w:val="20"/>
                <w:color w:val="auto"/>
              </w:rPr>
            </w:pPr>
            <w:r>
              <w:rPr>
                <w:rFonts w:ascii="Arial" w:cs="Arial" w:eastAsia="Arial" w:hAnsi="Arial"/>
                <w:sz w:val="13"/>
                <w:szCs w:val="13"/>
                <w:color w:val="auto"/>
              </w:rPr>
              <w:t>KKR Vision Aggregator L.P.</w:t>
            </w:r>
            <w:r>
              <w:rPr>
                <w:rFonts w:ascii="Arial" w:cs="Arial" w:eastAsia="Arial" w:hAnsi="Arial"/>
                <w:sz w:val="21"/>
                <w:szCs w:val="21"/>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32,398,495</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43.0%</w:t>
            </w:r>
          </w:p>
        </w:tc>
        <w:tc>
          <w:tcPr>
            <w:tcW w:w="960" w:type="dxa"/>
            <w:vAlign w:val="bottom"/>
          </w:tcPr>
          <w:p>
            <w:pPr>
              <w:jc w:val="right"/>
              <w:spacing w:after="0"/>
              <w:rPr>
                <w:sz w:val="20"/>
                <w:szCs w:val="20"/>
                <w:color w:val="auto"/>
              </w:rPr>
            </w:pPr>
            <w:r>
              <w:rPr>
                <w:rFonts w:ascii="Arial" w:cs="Arial" w:eastAsia="Arial" w:hAnsi="Arial"/>
                <w:sz w:val="14"/>
                <w:szCs w:val="14"/>
                <w:color w:val="auto"/>
              </w:rPr>
              <w:t>9,483,375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10,930,255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22,915,120</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30.4%</w:t>
            </w:r>
          </w:p>
        </w:tc>
        <w:tc>
          <w:tcPr>
            <w:tcW w:w="740" w:type="dxa"/>
            <w:vAlign w:val="bottom"/>
          </w:tcPr>
          <w:p>
            <w:pPr>
              <w:jc w:val="right"/>
              <w:spacing w:after="0"/>
              <w:rPr>
                <w:sz w:val="20"/>
                <w:szCs w:val="20"/>
                <w:color w:val="auto"/>
              </w:rPr>
            </w:pPr>
            <w:r>
              <w:rPr>
                <w:rFonts w:ascii="Arial" w:cs="Arial" w:eastAsia="Arial" w:hAnsi="Arial"/>
                <w:sz w:val="14"/>
                <w:szCs w:val="14"/>
                <w:color w:val="auto"/>
              </w:rPr>
              <w:t>21,468,240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28.5%</w:t>
            </w:r>
          </w:p>
        </w:tc>
      </w:tr>
      <w:tr>
        <w:trPr>
          <w:trHeight w:val="153"/>
        </w:trPr>
        <w:tc>
          <w:tcPr>
            <w:tcW w:w="1980" w:type="dxa"/>
            <w:vAlign w:val="bottom"/>
            <w:gridSpan w:val="3"/>
            <w:shd w:val="clear" w:color="auto" w:fill="CCEEFF"/>
          </w:tcPr>
          <w:p>
            <w:pPr>
              <w:spacing w:after="0" w:line="153" w:lineRule="exact"/>
              <w:rPr>
                <w:sz w:val="20"/>
                <w:szCs w:val="20"/>
                <w:color w:val="auto"/>
              </w:rPr>
            </w:pPr>
            <w:r>
              <w:rPr>
                <w:rFonts w:ascii="Arial" w:cs="Arial" w:eastAsia="Arial" w:hAnsi="Arial"/>
                <w:sz w:val="14"/>
                <w:szCs w:val="14"/>
                <w:color w:val="auto"/>
              </w:rPr>
              <w:t>Investment funds affiliated with</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8"/>
        </w:trPr>
        <w:tc>
          <w:tcPr>
            <w:tcW w:w="198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3"/>
                <w:szCs w:val="13"/>
                <w:color w:val="auto"/>
              </w:rPr>
              <w:t>Berkshire</w:t>
            </w:r>
            <w:r>
              <w:rPr>
                <w:rFonts w:ascii="Arial" w:cs="Arial" w:eastAsia="Arial" w:hAnsi="Arial"/>
                <w:sz w:val="22"/>
                <w:szCs w:val="22"/>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7,579,968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2,222,608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2,561,121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5,357,360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5,018,847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1980" w:type="dxa"/>
            <w:vAlign w:val="bottom"/>
            <w:gridSpan w:val="3"/>
          </w:tcPr>
          <w:p>
            <w:pPr>
              <w:spacing w:after="0" w:line="189" w:lineRule="exact"/>
              <w:rPr>
                <w:sz w:val="20"/>
                <w:szCs w:val="20"/>
                <w:color w:val="auto"/>
              </w:rPr>
            </w:pPr>
            <w:r>
              <w:rPr>
                <w:rFonts w:ascii="Arial" w:cs="Arial" w:eastAsia="Arial" w:hAnsi="Arial"/>
                <w:sz w:val="13"/>
                <w:szCs w:val="13"/>
                <w:color w:val="auto"/>
              </w:rPr>
              <w:t>L. Reade Fahs</w:t>
            </w:r>
            <w:r>
              <w:rPr>
                <w:rFonts w:ascii="Arial" w:cs="Arial" w:eastAsia="Arial" w:hAnsi="Arial"/>
                <w:sz w:val="21"/>
                <w:szCs w:val="21"/>
                <w:color w:val="auto"/>
                <w:vertAlign w:val="superscript"/>
              </w:rPr>
              <w:t>(4)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1,098,526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1.5%</w:t>
            </w:r>
          </w:p>
        </w:tc>
        <w:tc>
          <w:tcPr>
            <w:tcW w:w="960" w:type="dxa"/>
            <w:vAlign w:val="bottom"/>
          </w:tcPr>
          <w:p>
            <w:pPr>
              <w:jc w:val="right"/>
              <w:spacing w:after="0"/>
              <w:rPr>
                <w:sz w:val="20"/>
                <w:szCs w:val="20"/>
                <w:color w:val="auto"/>
              </w:rPr>
            </w:pPr>
            <w:r>
              <w:rPr>
                <w:rFonts w:ascii="Arial" w:cs="Arial" w:eastAsia="Arial" w:hAnsi="Arial"/>
                <w:sz w:val="14"/>
                <w:szCs w:val="14"/>
                <w:color w:val="auto"/>
              </w:rPr>
              <w:t>150,000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948,526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1.3%</w:t>
            </w:r>
          </w:p>
        </w:tc>
        <w:tc>
          <w:tcPr>
            <w:tcW w:w="740" w:type="dxa"/>
            <w:vAlign w:val="bottom"/>
          </w:tcPr>
          <w:p>
            <w:pPr>
              <w:jc w:val="right"/>
              <w:spacing w:after="0"/>
              <w:rPr>
                <w:sz w:val="20"/>
                <w:szCs w:val="20"/>
                <w:color w:val="auto"/>
              </w:rPr>
            </w:pPr>
            <w:r>
              <w:rPr>
                <w:rFonts w:ascii="Arial" w:cs="Arial" w:eastAsia="Arial" w:hAnsi="Arial"/>
                <w:sz w:val="14"/>
                <w:szCs w:val="14"/>
                <w:color w:val="auto"/>
              </w:rPr>
              <w:t>948,526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198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Patrick R. Moore</w:t>
            </w:r>
            <w:r>
              <w:rPr>
                <w:rFonts w:ascii="Arial" w:cs="Arial" w:eastAsia="Arial" w:hAnsi="Arial"/>
                <w:sz w:val="21"/>
                <w:szCs w:val="21"/>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120,454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51,874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68,580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980" w:type="dxa"/>
            <w:vAlign w:val="bottom"/>
            <w:gridSpan w:val="3"/>
          </w:tcPr>
          <w:p>
            <w:pPr>
              <w:spacing w:after="0" w:line="189" w:lineRule="exact"/>
              <w:rPr>
                <w:sz w:val="20"/>
                <w:szCs w:val="20"/>
                <w:color w:val="auto"/>
              </w:rPr>
            </w:pPr>
            <w:r>
              <w:rPr>
                <w:rFonts w:ascii="Arial" w:cs="Arial" w:eastAsia="Arial" w:hAnsi="Arial"/>
                <w:sz w:val="13"/>
                <w:szCs w:val="13"/>
                <w:color w:val="auto"/>
              </w:rPr>
              <w:t>Mitchell Goodman</w:t>
            </w:r>
            <w:r>
              <w:rPr>
                <w:rFonts w:ascii="Arial" w:cs="Arial" w:eastAsia="Arial" w:hAnsi="Arial"/>
                <w:sz w:val="21"/>
                <w:szCs w:val="21"/>
                <w:color w:val="auto"/>
                <w:vertAlign w:val="superscript"/>
              </w:rPr>
              <w:t>(4)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160,694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47,119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54,295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113,575</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106,399</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98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Jeff Busbee</w:t>
            </w:r>
            <w:r>
              <w:rPr>
                <w:rFonts w:ascii="Arial" w:cs="Arial" w:eastAsia="Arial" w:hAnsi="Arial"/>
                <w:sz w:val="21"/>
                <w:szCs w:val="21"/>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126,129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92,907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980" w:type="dxa"/>
            <w:vAlign w:val="bottom"/>
            <w:gridSpan w:val="3"/>
          </w:tcPr>
          <w:p>
            <w:pPr>
              <w:spacing w:after="0" w:line="189" w:lineRule="exact"/>
              <w:rPr>
                <w:sz w:val="20"/>
                <w:szCs w:val="20"/>
                <w:color w:val="auto"/>
              </w:rPr>
            </w:pPr>
            <w:r>
              <w:rPr>
                <w:rFonts w:ascii="Arial" w:cs="Arial" w:eastAsia="Arial" w:hAnsi="Arial"/>
                <w:sz w:val="13"/>
                <w:szCs w:val="13"/>
                <w:color w:val="auto"/>
              </w:rPr>
              <w:t>John Vaught</w:t>
            </w:r>
            <w:r>
              <w:rPr>
                <w:rFonts w:ascii="Arial" w:cs="Arial" w:eastAsia="Arial" w:hAnsi="Arial"/>
                <w:sz w:val="21"/>
                <w:szCs w:val="21"/>
                <w:color w:val="auto"/>
                <w:vertAlign w:val="superscript"/>
              </w:rPr>
              <w:t>(4)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40,249</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11,802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13,600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28,447</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26,649</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64" w:lineRule="auto"/>
        <w:tabs>
          <w:tab w:leader="none" w:pos="347"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32,398,495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controlling shareholder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77" w:lineRule="exact"/>
        <w:rPr>
          <w:rFonts w:ascii="Arial" w:cs="Arial" w:eastAsia="Arial" w:hAnsi="Arial"/>
          <w:sz w:val="13"/>
          <w:szCs w:val="13"/>
          <w:color w:val="auto"/>
        </w:rPr>
      </w:pPr>
    </w:p>
    <w:p>
      <w:pPr>
        <w:ind w:left="347" w:right="20" w:hanging="347"/>
        <w:spacing w:after="0" w:line="257"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7,443,860 shares of common stock held by Berkshire Fund VI, Limited Partnership, or Fund VI, (ii) 96,714 shares of common stock held by Berkshire Investors LLC, or Berkshire Investors, and (iii) 39,394 shares of common stock held by Berkshire Investors III LLC, or Berkshire Investors III. Sixth Berkshire Associates LLC, or 6BA, is the general partner of Fund VI. 6BA is</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7" w:name="page48"/>
    <w:bookmarkEnd w:id="47"/>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spacing w:after="0" w:line="245" w:lineRule="auto"/>
        <w:rPr>
          <w:sz w:val="20"/>
          <w:szCs w:val="20"/>
          <w:color w:val="auto"/>
        </w:rPr>
      </w:pPr>
      <w:r>
        <w:rPr>
          <w:rFonts w:ascii="Arial" w:cs="Arial" w:eastAsia="Arial" w:hAnsi="Arial"/>
          <w:sz w:val="14"/>
          <w:szCs w:val="14"/>
          <w:color w:val="auto"/>
        </w:rPr>
        <w:t>managed by a number of individuals who are managing directors of Berkshire. Certain of the managing directors of Berkshire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D. Randolph Peeler is one of our directors and serves as a Senior Advisor to Berkshire.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87" w:lineRule="exact"/>
        <w:rPr>
          <w:sz w:val="20"/>
          <w:szCs w:val="20"/>
          <w:color w:val="auto"/>
        </w:rPr>
      </w:pPr>
    </w:p>
    <w:p>
      <w:pPr>
        <w:ind w:left="347" w:right="20" w:hanging="347"/>
        <w:spacing w:after="0" w:line="247"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2,182,698 shares are being sold in this offering by Fund VI, assuming the underwriters’ option is not exercised, and 2,515,133 shares are being sold in this offering by Fund VI, assuming the underwriters’ option is exercised in full; (ii) 28,359 shares are being sold in this offering by Berkshire Investors, assuming the underwriters’ option is not exercised, 32,678 shares are being sold in this offering by Berkshire Investors, assuming the underwriters’ option is exercised in full; and (iii) 11,551 shares are being sold in this offering by Berkshire Investors III assuming the underwriters’ option is not exercised, and 13,310 shares are being sold in this offering by Berkshire Investors III, assuming the underwriters’ option is exercised in full.</w:t>
      </w:r>
    </w:p>
    <w:p>
      <w:pPr>
        <w:spacing w:after="0" w:line="86" w:lineRule="exact"/>
        <w:rPr>
          <w:rFonts w:ascii="Arial" w:cs="Arial" w:eastAsia="Arial" w:hAnsi="Arial"/>
          <w:sz w:val="14"/>
          <w:szCs w:val="14"/>
          <w:color w:val="auto"/>
        </w:rPr>
      </w:pPr>
    </w:p>
    <w:p>
      <w:pPr>
        <w:ind w:left="347" w:right="140" w:hanging="347"/>
        <w:spacing w:after="0" w:line="257"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(other than performance-based options that may vest upon the consummation of this offering) that are exercisable within 60 days as follows: Mr. Fahs, 122,059, Mr. Moore, 73,234, Mr. Goodman, 106,754, Mr. Busbee, 60,286 and Mr. Vaught, 40,249.</w:t>
      </w:r>
    </w:p>
    <w:p>
      <w:pPr>
        <w:spacing w:after="0" w:line="176"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6"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which we expect to occur upon the completion of this offering,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incorporation and our amended and restated bylaws also 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which we expect to occur upon the completion of this offering,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stockholder action by written consent once the Sponsors and their affiliates beneficially own, in the aggregate, less than 40% of the voting power of all outstanding shares of stock entitled to vote generally in the election of directors, which we expect to occur upon the completion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which we expect to occur upon the completion of this offering, any amendment, alteration, change, addition, rescission or repeal of our amended and restated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7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right="40" w:firstLine="360"/>
        <w:spacing w:after="0" w:line="271" w:lineRule="auto"/>
        <w:rPr>
          <w:sz w:val="20"/>
          <w:szCs w:val="20"/>
          <w:color w:val="auto"/>
        </w:rPr>
      </w:pPr>
      <w:r>
        <w:rPr>
          <w:rFonts w:ascii="Arial" w:cs="Arial" w:eastAsia="Arial" w:hAnsi="Arial"/>
          <w:sz w:val="16"/>
          <w:szCs w:val="16"/>
          <w:color w:val="auto"/>
        </w:rPr>
        <w:t>Our amended and restated certificate of incorporation provides that once the Sponsors and their affiliates own less than 40% of the voting power of all outstanding shares of stock entitled to vote generally in the election of directors, which we expect to occur upon the completion of this offering, the following provisions in our amended and restated certificate of incorporation may be amended, altered, repealed or rescinded only by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the voting power of all outstanding shares of stock entitled to vote generally in the election of directors, voting together as a single class:</w:t>
      </w:r>
    </w:p>
    <w:p>
      <w:pPr>
        <w:spacing w:after="0" w:line="49" w:lineRule="exact"/>
        <w:rPr>
          <w:sz w:val="20"/>
          <w:szCs w:val="20"/>
          <w:color w:val="auto"/>
        </w:rPr>
      </w:pPr>
    </w:p>
    <w:p>
      <w:pPr>
        <w:ind w:left="700" w:hanging="356"/>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right="120" w:firstLine="360"/>
        <w:spacing w:after="0" w:line="286" w:lineRule="auto"/>
        <w:rPr>
          <w:sz w:val="20"/>
          <w:szCs w:val="20"/>
          <w:color w:val="auto"/>
        </w:rPr>
      </w:pPr>
      <w:r>
        <w:rPr>
          <w:rFonts w:ascii="Arial" w:cs="Arial" w:eastAsia="Arial" w:hAnsi="Arial"/>
          <w:sz w:val="16"/>
          <w:szCs w:val="16"/>
          <w:color w:val="auto"/>
        </w:rPr>
        <w:t>Upon the consummation of this offering, we will have a total of 75,333,782 shares of common stock outstanding. In addition, options to purchase an aggregate of approximately 9,555,877 shares of our common stock will be outstanding as of the consummation of this offering. Of the outstanding shares, the 43,970,000 shares sold in the IPO, in the secondary offering of our common stock in March 2018 and in this offering (or 45,770,000 shares if the underwriters exercise in full their option to purchase additional shares in this offering) will be freely tradable without restriction or further registration under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Of these shares, 826,457 shares (or 950,425 shares if the underwriters exercise in full their option to purchase additional shares in this offering) are held by non-executive officers and non-directors and, as such, may be sold during the 60-day lock-up period after this offering, subject to compliance with our securities trading policy and applicable securities laws. In addition, two of our executive officers, Reade Fahs and Jeff Busbee, will have the transfer restrictions in their management stockholder’s agreements waived with respect to 30,000 shares and 3,750 shares, respectively, which shares may be transferred during the 60-day lock-up period after this offering, subject to compliance with our securities trading policy and applicable securities laws.</w:t>
      </w:r>
    </w:p>
    <w:p>
      <w:pPr>
        <w:spacing w:after="0" w:line="61"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The 29,672,309 shares of common stock (or 27,872,309 shares if the underwriters exercise in full their option to purchase additional shares) held by affiliates of KKR Sponsor, affiliates of Berkshire and our directors and executive officers after this offering, representing 39.4% (or 37.0%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pacing w:after="0" w:line="46" w:lineRule="exact"/>
        <w:rPr>
          <w:sz w:val="20"/>
          <w:szCs w:val="20"/>
          <w:color w:val="auto"/>
        </w:rPr>
      </w:pPr>
    </w:p>
    <w:p>
      <w:pPr>
        <w:ind w:left="700" w:right="54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753,338 shares immediately after this offering; or</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60 days after the date of this prospectus, except with the prior written consent of any two of Merrill Lynch, Pierce, Fenner &amp; Smith Incorporated, Citigroup Global Markets Inc. and Goldman Sachs &amp; Co. LLC. See “Underwriting (Conflicts of Interest)” for a description of these lock-up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41.5% of our outstanding common stock (or 38.9%,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71"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b w:val="1"/>
          <w:bCs w:val="1"/>
          <w:color w:val="auto"/>
        </w:rPr>
        <w:t>Our 2013 Equity Incentive Plan, 2014 Stock Incentive Plan, 2017 Omnibus Incentive Plan and 2018 Associate Stock Purchase Plan</w:t>
      </w:r>
    </w:p>
    <w:p>
      <w:pPr>
        <w:spacing w:after="0" w:line="7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also filed a registration statement on Form S-8 to register 850,000 shares of common stock subject to issuance under our 2018 Associate Stock Purchase Plan and such shares will be available for sale in the open market, unless such shares are subject to Rule 144 limitations applicable to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 Merrill Lynch, Pierce, Fenner &amp; Smith Incorporated, Citigroup Global Markets Inc., Goldman Sachs &amp; Co. LLC and Jefferies LLC are acting as the representatives of the underwriters.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8"/>
              </w:rPr>
              <w:t>Number</w:t>
            </w:r>
          </w:p>
        </w:tc>
      </w:tr>
      <w:tr>
        <w:trPr>
          <w:trHeight w:val="178"/>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1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7"/>
              </w:rPr>
              <w:t>of Shares</w:t>
            </w:r>
          </w:p>
        </w:tc>
      </w:tr>
      <w:tr>
        <w:trPr>
          <w:trHeight w:val="215"/>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77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Jefferies LLC</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5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Per</w:t>
            </w: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4"/>
                <w:szCs w:val="14"/>
                <w:color w:val="auto"/>
              </w:rPr>
            </w:pPr>
          </w:p>
        </w:tc>
        <w:tc>
          <w:tcPr>
            <w:tcW w:w="1100" w:type="dxa"/>
            <w:vAlign w:val="bottom"/>
            <w:gridSpan w:val="2"/>
          </w:tcPr>
          <w:p>
            <w:pPr>
              <w:ind w:left="40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$774,070 and are payable by us. We have also agreed to reimburse the underwriters for expenses relating to clearing of this offering with FINRA in an amount up to $25,000.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The underwriters have an option, exercisable for 30 days after the date of this prospectus, to purchase up to 1,800,000 additional shares at the public offering price, less the underwriting discount and commissions, from certain of the selling stockholders.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We, our directors and executive officers and the selling stockholders will agree, for 60 days after the date of this prospectus, without first obtaining the written consent of any two of Merrill Lynch, Pierce, Fenner &amp; Smith Incorporated, Citigroup Global Markets Inc. and Goldman Sachs &amp; Co. LLC, not to directly or indirectly, subject to certain exceptions:</w:t>
      </w:r>
    </w:p>
    <w:p>
      <w:pPr>
        <w:spacing w:after="0" w:line="57" w:lineRule="exact"/>
        <w:rPr>
          <w:sz w:val="20"/>
          <w:szCs w:val="20"/>
          <w:color w:val="auto"/>
        </w:rPr>
      </w:pPr>
    </w:p>
    <w:p>
      <w:pPr>
        <w:jc w:val="both"/>
        <w:ind w:left="700" w:right="60" w:hanging="356"/>
        <w:spacing w:after="0" w:line="264"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79"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publicly file or participate in the public filing of a registration statement with the SEC in respect of, or establish or increase a put equivalent position or liquidate or decrease a call equivalent position within the meaning of Section 16 of the Securities Exchange Act of 1934, as amended, or the Exchange Act, and related rules and regulations, any shares of our capital stock or any securities convertible into, or exercisable or exchangeable for such capital stock; or</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This agreement does not apply to any existing employee benefit plans. Any two of Merrill Lynch, Pierce, Fenner &amp; Smith Incorporated, Citigroup Global Markets Inc. and Goldman Sachs &amp; Co. LLC may, in their sole discretion and at any time or from time to time before the termination of the 60-day period, release all or any portion of the securities subject to lock-up agreements. See “Shares Eligible for Future Sale” for a discussion of certain transfer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Citigroup Global Markets Inc. and KKR Capital Markets LLC or their respective affiliates serve as joint lead arrangers and joint bookrunners under our first lien credit agreement. As of December 30, 2017, investment funds or accounts managed or advised by the global credit business of KKR &amp; Co. held a portion of the outstanding principal balance of our first lien term loans. As of March 31, 2018, such investment funds or accounts managed or advised by the global credit business of KKR &amp; Co. no longer held our term loans and had received no principal or interest payments. Additionally, an affiliate of KKR Capital Markets LLC has been a participating lender under our revolving credit facility.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as a bona fide public market exists in the shares, as that term is defined in Rule 5121. KKR Capital Markets LLC will not confirm sales of the securities to any account over which it exercises discretionary authority without the specific written approval of the account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a “Relevant Member State”, with effect from and including the date on which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Directive is implemented in that Relevant Member State, no offer of shares may be made to the public in that Relevant Member State other than:</w:t>
      </w:r>
    </w:p>
    <w:p>
      <w:pPr>
        <w:spacing w:after="0" w:line="62" w:lineRule="exact"/>
        <w:rPr>
          <w:sz w:val="20"/>
          <w:szCs w:val="20"/>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5" w:name="page66"/>
    <w:bookmarkEnd w:id="65"/>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40" w:hanging="7"/>
        <w:spacing w:after="0" w:line="287" w:lineRule="auto"/>
        <w:tabs>
          <w:tab w:leader="none" w:pos="2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8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40" w:hanging="356"/>
        <w:spacing w:after="0" w:line="264" w:lineRule="auto"/>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60" w:hanging="356"/>
        <w:spacing w:after="0" w:line="277" w:lineRule="auto"/>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20" w:hanging="356"/>
        <w:spacing w:after="0" w:line="277" w:lineRule="auto"/>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7" w:right="220" w:hanging="356"/>
        <w:spacing w:after="0" w:line="277" w:lineRule="auto"/>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w:t>
      </w:r>
    </w:p>
    <w:p>
      <w:pPr>
        <w:spacing w:after="0" w:line="80"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and June 7, 2018; and</w:t>
      </w:r>
    </w:p>
    <w:p>
      <w:pPr>
        <w:spacing w:after="0" w:line="117"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73"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739140</wp:posOffset>
            </wp:positionV>
            <wp:extent cx="1397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149225</wp:posOffset>
            </wp:positionV>
            <wp:extent cx="1397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77" w:lineRule="exact"/>
        <w:rPr>
          <w:sz w:val="20"/>
          <w:szCs w:val="20"/>
          <w:color w:val="auto"/>
        </w:rPr>
      </w:pPr>
    </w:p>
    <w:p>
      <w:pPr>
        <w:spacing w:after="0"/>
        <w:tabs>
          <w:tab w:leader="none" w:pos="2460" w:val="left"/>
          <w:tab w:leader="none" w:pos="4120" w:val="left"/>
          <w:tab w:leader="none" w:pos="7420" w:val="left"/>
          <w:tab w:leader="none" w:pos="904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071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200025</wp:posOffset>
            </wp:positionV>
            <wp:extent cx="60718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508635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and the Financial Industry Regulatory Authority, or FINRA, filing fee.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69,652</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FINRA filing fee</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84,418</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Registrar and transfer agent fees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2"/>
                <w:szCs w:val="22"/>
                <w:color w:val="auto"/>
              </w:rPr>
            </w:pP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77"/>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774,070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5"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7" w:lineRule="exact"/>
        <w:rPr>
          <w:sz w:val="20"/>
          <w:szCs w:val="20"/>
          <w:color w:val="auto"/>
        </w:rPr>
      </w:pPr>
    </w:p>
    <w:p>
      <w:pPr>
        <w:ind w:right="380" w:firstLine="360"/>
        <w:spacing w:after="0" w:line="276"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reflects the 1.96627-for-one reverse split of the Registrant’s common stock, effected on October 24, 2017.</w:t>
      </w:r>
    </w:p>
    <w:p>
      <w:pPr>
        <w:spacing w:after="0" w:line="129" w:lineRule="exact"/>
        <w:rPr>
          <w:sz w:val="20"/>
          <w:szCs w:val="20"/>
          <w:color w:val="auto"/>
        </w:rPr>
      </w:pPr>
    </w:p>
    <w:p>
      <w:pPr>
        <w:ind w:left="700" w:hanging="35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Certain of our employees were given opportunities to purchase our common stock in connection with their hiring and/or promotion as follows: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11, 2015, we issued 10,171 shares of our common stock at a price per share of $9.84.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10, 2015, we issued 2,430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14, 2017, we issued 63,572 shares of our common stock at a price per share of $15.73.</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22, 2015, we issued 33,483 shares of our common stock at a price per share of $0.39 and $1.03.</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12, 2015, we issued 122,058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24, 2015, we issued 13,952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4, 2015, we issued 5,085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8, 2015, we issued 12,205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9, 2015, we issued 36,617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11, 2015, we issued 21,970 shares of our common stock at a price per share of $8.22.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21, 2016, we issued 122,058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23, 2016, we issued 5,133 shares of our common stock at a price per share of $7.24 and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 2017, we issued 16,274 shares of our common stock at a price per share of $9.24.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2017, we issued 36,617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20, 2017, we issued 122,058 shares of our common stock at a price per share of $4.27.</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22, 2017, we issued 36,617 shares of our common stock at a price per share of $4.27.</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Also, on July 24, 2017, we issued 6,357 restricted shares of common stock, based on the fair market value of $15.73 per share as of the award date, to a non-employee director.</w:t>
      </w:r>
    </w:p>
    <w:p>
      <w:pPr>
        <w:spacing w:after="0" w:line="6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700" w:hanging="356"/>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granted stock options to certain employees in connection with services provided by such employees or the hiring/promotion of such employees as follows:</w:t>
      </w:r>
    </w:p>
    <w:p>
      <w:pPr>
        <w:spacing w:after="0" w:line="6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On February 11, 2015, we granted stock options to purchase an aggregate of 118,426 shares of our common stock with an exercise price of $9.84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September 2, 2015, we granted stock options to purchase an aggregate of 356,005 shares of our common stock with an exercise price of $8.22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November 9, 2015, we granted stock options to purchase an aggregate of 254,288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8, 2015, we granted stock options to purchase an aggregate of 76,286 shares of our common stock with an exercise price of $9.24 per share.</w:t>
      </w:r>
    </w:p>
    <w:p>
      <w:pPr>
        <w:spacing w:after="0" w:line="6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On March 16, 2016, we granted stock options to purchase an aggregate of 228,859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13, 2016, we granted stock options to purchase an aggregate 534,006 shares of our common stock with an exercise price of $14.89 per share.</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March 20, 2017, we granted stock options to purchase an aggregate of 63,572 shares of our common stock with an exercise price of $11.92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April 13, 2017, we granted stock options to purchase an aggregate of 50,857 shares of our common stock with an exercise price of $15.06 per share.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On May 16, 2017, we granted stock options to purchase an aggregate of 101,715 shares of our common stock with an exercise price of $15.06 per share.</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June 5, 2017, we granted stock options to purchase an aggregate of 228,859 shares of our common stock with an exercise price of $15.06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w:t>
      </w:r>
    </w:p>
    <w:p>
      <w:pPr>
        <w:spacing w:after="0" w:line="6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As of June 30, 2018, options (excluding rollover options) to purchase 1,227,523 shares of common stock had been exercised for aggregate consideration in the amount of $7.3 million, and options to purchase 1,175,624 shares of common stock had been canceled or repurchased.</w:t>
      </w:r>
    </w:p>
    <w:p>
      <w:pPr>
        <w:spacing w:after="0" w:line="7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right="60" w:hanging="356"/>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the Exhibit Index immediately preceding the signature pages hereto, which is incorporated by reference as if</w:t>
      </w:r>
      <w:r>
        <w:rPr>
          <w:rFonts w:ascii="Arial" w:cs="Arial" w:eastAsia="Arial" w:hAnsi="Arial"/>
          <w:sz w:val="18"/>
          <w:szCs w:val="18"/>
          <w:i w:val="1"/>
          <w:iCs w:val="1"/>
          <w:color w:val="auto"/>
        </w:rPr>
        <w:t xml:space="preserve"> </w:t>
      </w:r>
      <w:r>
        <w:rPr>
          <w:rFonts w:ascii="Arial" w:cs="Arial" w:eastAsia="Arial" w:hAnsi="Arial"/>
          <w:sz w:val="18"/>
          <w:szCs w:val="18"/>
          <w:color w:val="auto"/>
        </w:rPr>
        <w:t>fully set forth 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Schedule I − Condensed Financial Information of National Vision Holdings, Inc. (incorporated by reference to Schedule I as filed in Part II. Item 8 of the Registrant’s Annual Report for the fiscal year ended December 30,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right="20" w:hanging="356"/>
        <w:spacing w:after="0" w:line="270"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 hereby undertakes that:</w:t>
      </w:r>
    </w:p>
    <w:p>
      <w:pPr>
        <w:spacing w:after="0" w:line="117" w:lineRule="exact"/>
        <w:rPr>
          <w:rFonts w:ascii="Arial" w:cs="Arial" w:eastAsia="Arial" w:hAnsi="Arial"/>
          <w:sz w:val="18"/>
          <w:szCs w:val="18"/>
          <w:color w:val="auto"/>
        </w:rPr>
      </w:pPr>
    </w:p>
    <w:p>
      <w:pPr>
        <w:ind w:left="1060" w:right="540" w:hanging="351"/>
        <w:spacing w:after="0" w:line="279" w:lineRule="auto"/>
        <w:tabs>
          <w:tab w:leader="none" w:pos="10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3" w:lineRule="exact"/>
        <w:rPr>
          <w:rFonts w:ascii="Arial" w:cs="Arial" w:eastAsia="Arial" w:hAnsi="Arial"/>
          <w:sz w:val="17"/>
          <w:szCs w:val="17"/>
          <w:color w:val="auto"/>
        </w:rPr>
      </w:pPr>
    </w:p>
    <w:p>
      <w:pPr>
        <w:ind w:left="1060" w:right="140" w:hanging="351"/>
        <w:spacing w:after="0" w:line="312" w:lineRule="auto"/>
        <w:tabs>
          <w:tab w:leader="none" w:pos="10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r>
      <w:tr>
        <w:trPr>
          <w:trHeight w:val="220"/>
        </w:trPr>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9"/>
                <w:szCs w:val="19"/>
                <w:color w:val="auto"/>
              </w:rPr>
            </w:pPr>
          </w:p>
        </w:tc>
        <w:tc>
          <w:tcPr>
            <w:tcW w:w="8720" w:type="dxa"/>
            <w:vAlign w:val="bottom"/>
          </w:tcPr>
          <w:p>
            <w:pPr>
              <w:spacing w:after="0"/>
              <w:rPr>
                <w:sz w:val="19"/>
                <w:szCs w:val="19"/>
                <w:color w:val="auto"/>
              </w:rPr>
            </w:pPr>
          </w:p>
        </w:tc>
      </w:tr>
      <w:tr>
        <w:trPr>
          <w:trHeight w:val="171"/>
        </w:trPr>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872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Exhibit Description</w:t>
            </w:r>
          </w:p>
        </w:tc>
      </w:tr>
      <w:tr>
        <w:trPr>
          <w:trHeight w:val="196"/>
        </w:trPr>
        <w:tc>
          <w:tcPr>
            <w:tcW w:w="3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Pr>
          <w:p>
            <w:pPr>
              <w:ind w:left="60"/>
              <w:spacing w:after="0" w:line="196" w:lineRule="exact"/>
              <w:rPr>
                <w:sz w:val="20"/>
                <w:szCs w:val="20"/>
                <w:color w:val="auto"/>
              </w:rPr>
            </w:pPr>
            <w:r>
              <w:rPr>
                <w:rFonts w:ascii="Arial" w:cs="Arial" w:eastAsia="Arial" w:hAnsi="Arial"/>
                <w:sz w:val="18"/>
                <w:szCs w:val="18"/>
                <w:color w:val="auto"/>
                <w:w w:val="92"/>
              </w:rPr>
              <w:t>Form of Underwriting Agreement by and among National Vision Holdings, Inc., the selling stockholders named therein</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and the underwriters named therein</w:t>
            </w:r>
          </w:p>
        </w:tc>
      </w:tr>
      <w:tr>
        <w:trPr>
          <w:trHeight w:val="446"/>
        </w:trPr>
        <w:tc>
          <w:tcPr>
            <w:tcW w:w="300" w:type="dxa"/>
            <w:vAlign w:val="bottom"/>
            <w:gridSpan w:val="2"/>
          </w:tcPr>
          <w:p>
            <w:pPr>
              <w:spacing w:after="0"/>
              <w:rPr>
                <w:rFonts w:ascii="Arial" w:cs="Arial" w:eastAsia="Arial" w:hAnsi="Arial"/>
                <w:sz w:val="18"/>
                <w:szCs w:val="18"/>
                <w:color w:val="0000EE"/>
              </w:rPr>
            </w:pPr>
            <w:hyperlink r:id="rId11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Second Amended and Restated Certificate of Incorporation of National Vision Holdings, Inc. (incorporated by reference</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9"/>
              </w:rPr>
              <w:t>to Exhibit 3.1 to the Registrant’s Current Report on Form 8-K filed on October 31, 2017 (File No. 001-38257))</w:t>
            </w:r>
          </w:p>
        </w:tc>
      </w:tr>
      <w:tr>
        <w:trPr>
          <w:trHeight w:val="446"/>
        </w:trPr>
        <w:tc>
          <w:tcPr>
            <w:tcW w:w="300" w:type="dxa"/>
            <w:vAlign w:val="bottom"/>
            <w:gridSpan w:val="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Second Amended and Restated Bylaws of National Vision Holdings, Inc. (incorporated by reference to Exhibit 3.2 to</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the Registrant’s Current Report on Form 8-K filed on October 31, 2017 (File No. 001-38257))</w:t>
            </w:r>
          </w:p>
        </w:tc>
      </w:tr>
      <w:tr>
        <w:trPr>
          <w:trHeight w:val="446"/>
        </w:trPr>
        <w:tc>
          <w:tcPr>
            <w:tcW w:w="300" w:type="dxa"/>
            <w:vAlign w:val="bottom"/>
            <w:gridSpan w:val="2"/>
          </w:tcPr>
          <w:p>
            <w:pPr>
              <w:spacing w:after="0"/>
              <w:rPr>
                <w:rFonts w:ascii="Arial" w:cs="Arial" w:eastAsia="Arial" w:hAnsi="Arial"/>
                <w:sz w:val="18"/>
                <w:szCs w:val="18"/>
                <w:color w:val="0000EE"/>
              </w:rPr>
            </w:pPr>
            <w:hyperlink r:id="rId11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Form of Common Stock Certificate (incorporated by reference to Exhibit 4.1 to Amendment No. 2 to the Registrant’s</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Registration Statement on Form S-1 filed on October 16, 2017 (File No. 333-220719))</w:t>
            </w:r>
          </w:p>
        </w:tc>
      </w:tr>
      <w:tr>
        <w:trPr>
          <w:trHeight w:val="446"/>
        </w:trPr>
        <w:tc>
          <w:tcPr>
            <w:tcW w:w="300" w:type="dxa"/>
            <w:vAlign w:val="bottom"/>
            <w:gridSpan w:val="2"/>
          </w:tcPr>
          <w:p>
            <w:pPr>
              <w:spacing w:after="0"/>
              <w:rPr>
                <w:rFonts w:ascii="Arial" w:cs="Arial" w:eastAsia="Arial" w:hAnsi="Arial"/>
                <w:sz w:val="18"/>
                <w:szCs w:val="18"/>
                <w:color w:val="0000EE"/>
              </w:rPr>
            </w:pPr>
            <w:hyperlink r:id="rId12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Registration Rights Agreement, dated as of March 13, 2014, by and among National Vision Holdings, Inc. (formerly</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known as Nautilus Parent, Inc.) and the stockholders party thereto (incorporated by reference to Exhibit 4.2 to the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r>
      <w:tr>
        <w:trPr>
          <w:trHeight w:val="446"/>
        </w:trPr>
        <w:tc>
          <w:tcPr>
            <w:tcW w:w="3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Opinion of Simpson Thacher &amp; Bartlett LLP</w:t>
            </w:r>
          </w:p>
        </w:tc>
      </w:tr>
      <w:tr>
        <w:trPr>
          <w:trHeight w:val="466"/>
        </w:trPr>
        <w:tc>
          <w:tcPr>
            <w:tcW w:w="300" w:type="dxa"/>
            <w:vAlign w:val="bottom"/>
            <w:tcBorders>
              <w:bottom w:val="single" w:sz="8" w:color="0000EE"/>
            </w:tcBorders>
            <w:gridSpan w:val="2"/>
          </w:tcPr>
          <w:p>
            <w:pPr>
              <w:spacing w:after="0"/>
              <w:rPr>
                <w:rFonts w:ascii="Arial" w:cs="Arial" w:eastAsia="Arial" w:hAnsi="Arial"/>
                <w:sz w:val="18"/>
                <w:szCs w:val="18"/>
                <w:color w:val="0000EE"/>
                <w:w w:val="79"/>
              </w:rPr>
            </w:pPr>
            <w:hyperlink r:id="rId12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Amended and Restated Stockholders’ Agreement by and among National Vision Holdings, Inc. and the stockholders</w:t>
            </w:r>
          </w:p>
        </w:tc>
      </w:tr>
      <w:tr>
        <w:trPr>
          <w:trHeight w:val="222"/>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party thereto (incorporated by reference to Exhibit 4.1 to the Registrant’s Current Report on Form 8-K filed on October</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 2017 (File No. 001-38257))</w:t>
            </w:r>
          </w:p>
        </w:tc>
      </w:tr>
      <w:tr>
        <w:trPr>
          <w:trHeight w:val="446"/>
        </w:trPr>
        <w:tc>
          <w:tcPr>
            <w:tcW w:w="300" w:type="dxa"/>
            <w:vAlign w:val="bottom"/>
            <w:tcBorders>
              <w:bottom w:val="single" w:sz="8" w:color="0000EE"/>
            </w:tcBorders>
            <w:gridSpan w:val="2"/>
          </w:tcPr>
          <w:p>
            <w:pPr>
              <w:spacing w:after="0"/>
              <w:rPr>
                <w:rFonts w:ascii="Arial" w:cs="Arial" w:eastAsia="Arial" w:hAnsi="Arial"/>
                <w:sz w:val="18"/>
                <w:szCs w:val="18"/>
                <w:color w:val="0000EE"/>
                <w:w w:val="79"/>
              </w:rPr>
            </w:pPr>
            <w:hyperlink r:id="rId12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First Lien Credit Agreement, dated as of March 13, 2014, among Nautilus Acquisition Holdings, Inc., Nautilus Merger</w:t>
            </w:r>
          </w:p>
        </w:tc>
      </w:tr>
      <w:tr>
        <w:trPr>
          <w:trHeight w:val="222"/>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8"/>
              </w:rPr>
              <w:t>Sub, Inc., Vision Holdings Corp. and National Vision, Inc., Goldman Sachs Bank USA, as administrative agent,</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collateral agent, swingline lender and a lender, Morgan Stanley Bank N.A., as the letter of credit issuer, Goldman Sachs</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Bank USA, Morgan Stanley Senior Funding, Inc., Citigroup Global Markets Inc., Mizuho Bank, Ltd., KKR Capital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Markets LLC, Barclays Bank PLC, and Macquarie Capital (USA) Inc., as joint lead arrangers and bookrunners, and the</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9"/>
              </w:rPr>
              <w:t>several lenders from time to time parties thereto (incorporated by reference to Exhibit 10.3 to the Registrant’s</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300" w:type="dxa"/>
            <w:vAlign w:val="bottom"/>
            <w:tcBorders>
              <w:bottom w:val="single" w:sz="8" w:color="0000EE"/>
            </w:tcBorders>
            <w:gridSpan w:val="2"/>
          </w:tcPr>
          <w:p>
            <w:pPr>
              <w:spacing w:after="0"/>
              <w:rPr>
                <w:rFonts w:ascii="Arial" w:cs="Arial" w:eastAsia="Arial" w:hAnsi="Arial"/>
                <w:sz w:val="18"/>
                <w:szCs w:val="18"/>
                <w:color w:val="0000EE"/>
                <w:w w:val="79"/>
              </w:rPr>
            </w:pPr>
            <w:hyperlink r:id="rId12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Joinder and Amendment Agreement, dated as of May 29, 2015, among KKR Corporate Lending LLC, National Vision,</w:t>
            </w:r>
          </w:p>
        </w:tc>
      </w:tr>
      <w:tr>
        <w:trPr>
          <w:trHeight w:val="222"/>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Inc., as borrower, the guarantors party thereto and Goldman Sachs Bank USA, as administrative agent and collateral</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agent (incorporated by reference to Exhibit 10.4 to the Registrant’s Registration Statement on Form S-1 filed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September 29, 2017 (File No. 333-220719))</w:t>
            </w:r>
          </w:p>
        </w:tc>
      </w:tr>
      <w:tr>
        <w:trPr>
          <w:trHeight w:val="446"/>
        </w:trPr>
        <w:tc>
          <w:tcPr>
            <w:tcW w:w="300" w:type="dxa"/>
            <w:vAlign w:val="bottom"/>
            <w:tcBorders>
              <w:bottom w:val="single" w:sz="8" w:color="0000EE"/>
            </w:tcBorders>
            <w:gridSpan w:val="2"/>
          </w:tcPr>
          <w:p>
            <w:pPr>
              <w:spacing w:after="0"/>
              <w:rPr>
                <w:rFonts w:ascii="Arial" w:cs="Arial" w:eastAsia="Arial" w:hAnsi="Arial"/>
                <w:sz w:val="18"/>
                <w:szCs w:val="18"/>
                <w:color w:val="0000EE"/>
                <w:w w:val="79"/>
              </w:rPr>
            </w:pPr>
            <w:hyperlink r:id="rId12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Joinder Agreement, dated as of February 3, 2017, among KKR Corporate Lending LLC, National Vision, Inc., as</w:t>
            </w:r>
          </w:p>
        </w:tc>
      </w:tr>
      <w:tr>
        <w:trPr>
          <w:trHeight w:val="222"/>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borrower, the guarantors party thereto and Goldman Sachs Bank USA, as administrative agent and collateral agent</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10.5 to the Registrant’s Registration Statement on Form S-1 filed on September</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29, 2017 (File No. 333-220719))</w:t>
            </w:r>
          </w:p>
        </w:tc>
      </w:tr>
      <w:tr>
        <w:trPr>
          <w:trHeight w:val="446"/>
        </w:trPr>
        <w:tc>
          <w:tcPr>
            <w:tcW w:w="300" w:type="dxa"/>
            <w:vAlign w:val="bottom"/>
            <w:tcBorders>
              <w:bottom w:val="single" w:sz="8" w:color="0000EE"/>
            </w:tcBorders>
            <w:gridSpan w:val="2"/>
          </w:tcPr>
          <w:p>
            <w:pPr>
              <w:spacing w:after="0"/>
              <w:rPr>
                <w:rFonts w:ascii="Arial" w:cs="Arial" w:eastAsia="Arial" w:hAnsi="Arial"/>
                <w:sz w:val="18"/>
                <w:szCs w:val="18"/>
                <w:color w:val="0000EE"/>
                <w:w w:val="79"/>
              </w:rPr>
            </w:pPr>
            <w:hyperlink r:id="rId12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Joinder and Amendment Agreement, dated as of October 31, 2017, among National Vision, Inc., as borrower, the</w:t>
            </w:r>
          </w:p>
        </w:tc>
      </w:tr>
      <w:tr>
        <w:trPr>
          <w:trHeight w:val="222"/>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guarantors party thereto, Goldman Sachs Bank USA, as administrative agent and collateral agent, and lenders and letter</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of credit issuers party thereto (incorporated by reference to Exhibit 10.1 to the Registrant’s Current Report on Form 8-K</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filed on October 31, 2017 (File No. 001-38257))</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60"/>
          </w:cols>
          <w:pgMar w:left="1180" w:top="279" w:right="1159" w:bottom="1440" w:gutter="0" w:footer="0" w:header="0"/>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546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3760"/>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5539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3880" w:space="720"/>
            <w:col w:w="4960"/>
          </w:cols>
          <w:pgMar w:left="1180" w:top="279" w:right="1159" w:bottom="1440" w:gutter="0" w:footer="0" w:header="0"/>
          <w:type w:val="continuous"/>
        </w:sectPr>
      </w:pPr>
    </w:p>
    <w:p>
      <w:pPr>
        <w:ind w:left="880" w:right="240" w:hanging="877"/>
        <w:spacing w:after="0" w:line="259" w:lineRule="auto"/>
        <w:tabs>
          <w:tab w:leader="none" w:pos="860" w:val="left"/>
        </w:tabs>
        <w:rPr>
          <w:rFonts w:ascii="Arial" w:cs="Arial" w:eastAsia="Arial" w:hAnsi="Arial"/>
          <w:sz w:val="18"/>
          <w:szCs w:val="18"/>
          <w:color w:val="0000EE"/>
        </w:rPr>
      </w:pPr>
      <w:hyperlink r:id="rId129">
        <w:r>
          <w:rPr>
            <w:rFonts w:ascii="Arial" w:cs="Arial" w:eastAsia="Arial" w:hAnsi="Arial"/>
            <w:sz w:val="18"/>
            <w:szCs w:val="18"/>
            <w:u w:val="single" w:color="auto"/>
            <w:color w:val="0000EE"/>
          </w:rPr>
          <w:t>10.6</w:t>
        </w:r>
      </w:hyperlink>
      <w:r>
        <w:rPr>
          <w:rFonts w:ascii="Arial" w:cs="Arial" w:eastAsia="Arial" w:hAnsi="Arial"/>
          <w:sz w:val="18"/>
          <w:szCs w:val="18"/>
          <w:color w:val="0000EE"/>
        </w:rPr>
        <w:tab/>
        <w:t>Joinder and Amendment Agreement, dated as of November 20, 2017, among National Vision, Inc., as borrower, the guarantors party thereto, Goldman Sachs Bank USA, as administrative agent and collateral agent, and lenders party thereto (incorporated by reference to Exhibit 10.5 to the Registrant’s Current Report on Form 8-K filed on November 20, 2017 (File No. 001-38257))</w:t>
      </w:r>
    </w:p>
    <w:p>
      <w:pPr>
        <w:spacing w:after="0" w:line="241" w:lineRule="exact"/>
        <w:rPr>
          <w:sz w:val="20"/>
          <w:szCs w:val="20"/>
          <w:color w:val="auto"/>
        </w:rPr>
      </w:pPr>
    </w:p>
    <w:p>
      <w:pPr>
        <w:spacing w:after="0"/>
        <w:tabs>
          <w:tab w:leader="none" w:pos="860" w:val="left"/>
        </w:tabs>
        <w:rPr>
          <w:rFonts w:ascii="Arial" w:cs="Arial" w:eastAsia="Arial" w:hAnsi="Arial"/>
          <w:sz w:val="18"/>
          <w:szCs w:val="18"/>
          <w:color w:val="0000EE"/>
        </w:rPr>
      </w:pPr>
      <w:hyperlink r:id="rId130">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First Lien Guarantee, dated as of March 13, 2014, by the guarantors party thereto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10.6 to the Registrant’s Registration Statement on Form S-1 filed on September 29, 2017 (File No. 333-220719))</w:t>
      </w:r>
    </w:p>
    <w:p>
      <w:pPr>
        <w:spacing w:after="0" w:line="276" w:lineRule="exact"/>
        <w:rPr>
          <w:sz w:val="20"/>
          <w:szCs w:val="20"/>
          <w:color w:val="auto"/>
        </w:rPr>
      </w:pPr>
    </w:p>
    <w:p>
      <w:pPr>
        <w:ind w:left="880" w:right="100" w:hanging="877"/>
        <w:spacing w:after="0" w:line="259" w:lineRule="auto"/>
        <w:tabs>
          <w:tab w:leader="none" w:pos="860"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10.8</w:t>
        </w:r>
      </w:hyperlink>
      <w:r>
        <w:rPr>
          <w:rFonts w:ascii="Arial" w:cs="Arial" w:eastAsia="Arial" w:hAnsi="Arial"/>
          <w:sz w:val="18"/>
          <w:szCs w:val="18"/>
          <w:color w:val="0000EE"/>
        </w:rPr>
        <w:tab/>
        <w:t>First Lien Security Agreement, dated as of March 13, 2014, among Nautilus Acquisition Holdings, Inc., Nautilus Merger Sub, Inc., Vision Holdings Corp., National Vision, Inc., subsidiary grantors party thereto, Goldman Sachs Bank USA, as collateral agent (incorporated by reference to Exhibit 10.7 to the Registrant’s Registration Statement on Form S-1 filed on September 29, 2017 (File No. 333-220719))</w:t>
      </w:r>
    </w:p>
    <w:p>
      <w:pPr>
        <w:spacing w:after="0" w:line="241" w:lineRule="exact"/>
        <w:rPr>
          <w:sz w:val="20"/>
          <w:szCs w:val="20"/>
          <w:color w:val="auto"/>
        </w:rPr>
      </w:pPr>
    </w:p>
    <w:p>
      <w:pPr>
        <w:ind w:left="880" w:right="40" w:hanging="877"/>
        <w:spacing w:after="0" w:line="259" w:lineRule="auto"/>
        <w:tabs>
          <w:tab w:leader="none" w:pos="860" w:val="left"/>
        </w:tabs>
        <w:rPr>
          <w:rFonts w:ascii="Arial" w:cs="Arial" w:eastAsia="Arial" w:hAnsi="Arial"/>
          <w:sz w:val="18"/>
          <w:szCs w:val="18"/>
          <w:color w:val="0000EE"/>
        </w:rPr>
      </w:pPr>
      <w:hyperlink r:id="rId132">
        <w:r>
          <w:rPr>
            <w:rFonts w:ascii="Arial" w:cs="Arial" w:eastAsia="Arial" w:hAnsi="Arial"/>
            <w:sz w:val="18"/>
            <w:szCs w:val="18"/>
            <w:u w:val="single" w:color="auto"/>
            <w:color w:val="0000EE"/>
          </w:rPr>
          <w:t>10.9</w:t>
        </w:r>
      </w:hyperlink>
      <w:r>
        <w:rPr>
          <w:rFonts w:ascii="Arial" w:cs="Arial" w:eastAsia="Arial" w:hAnsi="Arial"/>
          <w:sz w:val="18"/>
          <w:szCs w:val="18"/>
          <w:color w:val="0000EE"/>
        </w:rPr>
        <w:tab/>
        <w:t>First Lien Pledge Agreement, dated as of March 13, 2014, among Nautilus Acquisition Holdings, Inc., Nautilus Merger Sub, Inc., Vision Holdings Corp., National Vision, Inc. subsidiary pledgors party thereto, Goldman Sachs Bank USA, as collateral agent (incorporated by reference to Exhibit 10.8 to the Registrant’s Registration Statement on Form S-1 filed on September 29, 2017 (File No. 333-220719))</w:t>
      </w:r>
    </w:p>
    <w:p>
      <w:pPr>
        <w:spacing w:after="0" w:line="241" w:lineRule="exact"/>
        <w:rPr>
          <w:sz w:val="20"/>
          <w:szCs w:val="20"/>
          <w:color w:val="auto"/>
        </w:rPr>
      </w:pPr>
    </w:p>
    <w:p>
      <w:pPr>
        <w:ind w:left="880" w:right="780" w:hanging="877"/>
        <w:spacing w:after="0" w:line="308" w:lineRule="auto"/>
        <w:tabs>
          <w:tab w:leader="none" w:pos="860" w:val="left"/>
        </w:tabs>
        <w:rPr>
          <w:rFonts w:ascii="Arial" w:cs="Arial" w:eastAsia="Arial" w:hAnsi="Arial"/>
          <w:sz w:val="18"/>
          <w:szCs w:val="18"/>
          <w:color w:val="0000EE"/>
        </w:rPr>
      </w:pPr>
      <w:hyperlink r:id="rId133">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7"/>
          <w:szCs w:val="17"/>
          <w:color w:val="0000EE"/>
        </w:rPr>
        <w:t>National Vision Holdings, Inc. 2017 Omnibus Incentive Plan (incorporated by reference to Exhibit 10.2 to the Registrant’s Current Report on Form 8-K filed on October 31, 2017 (File No. 001-38257))</w:t>
      </w:r>
    </w:p>
    <w:p>
      <w:pPr>
        <w:spacing w:after="0" w:line="201" w:lineRule="exact"/>
        <w:rPr>
          <w:sz w:val="20"/>
          <w:szCs w:val="20"/>
          <w:color w:val="auto"/>
        </w:rPr>
      </w:pPr>
    </w:p>
    <w:p>
      <w:pPr>
        <w:ind w:left="880" w:hanging="877"/>
        <w:spacing w:after="0" w:line="264" w:lineRule="auto"/>
        <w:tabs>
          <w:tab w:leader="none" w:pos="860" w:val="left"/>
        </w:tabs>
        <w:rPr>
          <w:rFonts w:ascii="Arial" w:cs="Arial" w:eastAsia="Arial" w:hAnsi="Arial"/>
          <w:sz w:val="18"/>
          <w:szCs w:val="18"/>
          <w:color w:val="0000EE"/>
        </w:rPr>
      </w:pPr>
      <w:hyperlink r:id="rId134">
        <w:r>
          <w:rPr>
            <w:rFonts w:ascii="Arial" w:cs="Arial" w:eastAsia="Arial" w:hAnsi="Arial"/>
            <w:sz w:val="18"/>
            <w:szCs w:val="18"/>
            <w:u w:val="single" w:color="auto"/>
            <w:color w:val="0000EE"/>
          </w:rPr>
          <w:t>10.11†</w:t>
        </w:r>
      </w:hyperlink>
      <w:r>
        <w:rPr>
          <w:rFonts w:ascii="Arial" w:cs="Arial" w:eastAsia="Arial" w:hAnsi="Arial"/>
          <w:sz w:val="18"/>
          <w:szCs w:val="18"/>
          <w:color w:val="0000EE"/>
        </w:rPr>
        <w:tab/>
        <w:t>Form of Restricted Stock Agreement for Non-Employee Directors under the 2017 Omnibus Incentive Plan (incorporated by reference to Exhibit 10.15 to Amendment No. 2 to the Registrant’s Registration Statement on Form S-1 filed on October 16, 2017 (File No. 333-220719))</w:t>
      </w:r>
    </w:p>
    <w:p>
      <w:pPr>
        <w:spacing w:after="0" w:line="235" w:lineRule="exact"/>
        <w:rPr>
          <w:sz w:val="20"/>
          <w:szCs w:val="20"/>
          <w:color w:val="auto"/>
        </w:rPr>
      </w:pPr>
    </w:p>
    <w:p>
      <w:pPr>
        <w:ind w:left="880" w:right="40" w:hanging="877"/>
        <w:spacing w:after="0" w:line="264" w:lineRule="auto"/>
        <w:tabs>
          <w:tab w:leader="none" w:pos="860" w:val="left"/>
        </w:tabs>
        <w:rPr>
          <w:rFonts w:ascii="Arial" w:cs="Arial" w:eastAsia="Arial" w:hAnsi="Arial"/>
          <w:sz w:val="18"/>
          <w:szCs w:val="18"/>
          <w:color w:val="0000EE"/>
        </w:rPr>
      </w:pPr>
      <w:hyperlink r:id="rId135">
        <w:r>
          <w:rPr>
            <w:rFonts w:ascii="Arial" w:cs="Arial" w:eastAsia="Arial" w:hAnsi="Arial"/>
            <w:sz w:val="18"/>
            <w:szCs w:val="18"/>
            <w:u w:val="single" w:color="auto"/>
            <w:color w:val="0000EE"/>
          </w:rPr>
          <w:t>10.12†</w:t>
        </w:r>
      </w:hyperlink>
      <w:r>
        <w:rPr>
          <w:rFonts w:ascii="Arial" w:cs="Arial" w:eastAsia="Arial" w:hAnsi="Arial"/>
          <w:sz w:val="18"/>
          <w:szCs w:val="18"/>
          <w:color w:val="0000EE"/>
        </w:rPr>
        <w:tab/>
        <w:t>2014 Stock Incentive Plan for Key Employees of National Vision Holdings, Inc. (formerly known as Nautilus Parent, Inc.) and its Subsidiaries (incorporated by reference to Exhibit 10.16 to the Registrant’s Registration Statement on Form S-1 filed on September 29, 2017 (File No. 333-220719))</w:t>
      </w:r>
    </w:p>
    <w:p>
      <w:pPr>
        <w:spacing w:after="0" w:line="235" w:lineRule="exact"/>
        <w:rPr>
          <w:sz w:val="20"/>
          <w:szCs w:val="20"/>
          <w:color w:val="auto"/>
        </w:rPr>
      </w:pPr>
    </w:p>
    <w:p>
      <w:pPr>
        <w:ind w:left="880" w:right="340" w:hanging="877"/>
        <w:spacing w:after="0" w:line="286" w:lineRule="auto"/>
        <w:tabs>
          <w:tab w:leader="none" w:pos="860" w:val="left"/>
        </w:tabs>
        <w:rPr>
          <w:rFonts w:ascii="Arial" w:cs="Arial" w:eastAsia="Arial" w:hAnsi="Arial"/>
          <w:sz w:val="18"/>
          <w:szCs w:val="18"/>
          <w:color w:val="0000EE"/>
        </w:rPr>
      </w:pPr>
      <w:hyperlink r:id="rId136">
        <w:r>
          <w:rPr>
            <w:rFonts w:ascii="Arial" w:cs="Arial" w:eastAsia="Arial" w:hAnsi="Arial"/>
            <w:sz w:val="18"/>
            <w:szCs w:val="18"/>
            <w:u w:val="single" w:color="auto"/>
            <w:color w:val="0000EE"/>
          </w:rPr>
          <w:t>10.13†</w:t>
        </w:r>
      </w:hyperlink>
      <w:r>
        <w:rPr>
          <w:rFonts w:ascii="Arial" w:cs="Arial" w:eastAsia="Arial" w:hAnsi="Arial"/>
          <w:sz w:val="18"/>
          <w:szCs w:val="18"/>
          <w:color w:val="0000EE"/>
        </w:rPr>
        <w:tab/>
      </w:r>
      <w:r>
        <w:rPr>
          <w:rFonts w:ascii="Arial" w:cs="Arial" w:eastAsia="Arial" w:hAnsi="Arial"/>
          <w:sz w:val="17"/>
          <w:szCs w:val="17"/>
          <w:color w:val="0000EE"/>
        </w:rPr>
        <w:t>Amendment No. 1 to the 2014 Stock Incentive Plan for Key Employees of National Vision Holdings, Inc. (formerly known as Nautilus Parent, Inc.) and its Subsidiaries (incorporated by reference to Exhibit 10.17 to the Registrant’s Registration Statement on Form S-1 filed on September 29, 2017 (File No. 333-220719))</w:t>
      </w:r>
    </w:p>
    <w:p>
      <w:pPr>
        <w:spacing w:after="0" w:line="220" w:lineRule="exact"/>
        <w:rPr>
          <w:sz w:val="20"/>
          <w:szCs w:val="20"/>
          <w:color w:val="auto"/>
        </w:rPr>
      </w:pPr>
    </w:p>
    <w:p>
      <w:pPr>
        <w:ind w:left="880" w:right="340" w:hanging="877"/>
        <w:spacing w:after="0" w:line="286" w:lineRule="auto"/>
        <w:tabs>
          <w:tab w:leader="none" w:pos="860" w:val="left"/>
        </w:tabs>
        <w:rPr>
          <w:rFonts w:ascii="Arial" w:cs="Arial" w:eastAsia="Arial" w:hAnsi="Arial"/>
          <w:sz w:val="18"/>
          <w:szCs w:val="18"/>
          <w:color w:val="0000EE"/>
        </w:rPr>
      </w:pPr>
      <w:hyperlink r:id="rId137">
        <w:r>
          <w:rPr>
            <w:rFonts w:ascii="Arial" w:cs="Arial" w:eastAsia="Arial" w:hAnsi="Arial"/>
            <w:sz w:val="18"/>
            <w:szCs w:val="18"/>
            <w:u w:val="single" w:color="auto"/>
            <w:color w:val="0000EE"/>
          </w:rPr>
          <w:t>10.14†</w:t>
        </w:r>
      </w:hyperlink>
      <w:r>
        <w:rPr>
          <w:rFonts w:ascii="Arial" w:cs="Arial" w:eastAsia="Arial" w:hAnsi="Arial"/>
          <w:sz w:val="18"/>
          <w:szCs w:val="18"/>
          <w:color w:val="0000EE"/>
        </w:rPr>
        <w:tab/>
      </w:r>
      <w:r>
        <w:rPr>
          <w:rFonts w:ascii="Arial" w:cs="Arial" w:eastAsia="Arial" w:hAnsi="Arial"/>
          <w:sz w:val="17"/>
          <w:szCs w:val="17"/>
          <w:color w:val="0000EE"/>
        </w:rPr>
        <w:t>Amendment No. 2 to the 2014 Stock Incentive Plan for Key Employees of National Vision Holdings, Inc. (formerly known as Nautilus Parent, Inc.) and its Subsidiaries (incorporated by reference to Exhibit 10.18 to the Registrant’s Registration Statement on Form S-1 filed on September 29, 2017 (File No. 333-220719))</w:t>
      </w:r>
    </w:p>
    <w:p>
      <w:pPr>
        <w:spacing w:after="0" w:line="220" w:lineRule="exact"/>
        <w:rPr>
          <w:sz w:val="20"/>
          <w:szCs w:val="20"/>
          <w:color w:val="auto"/>
        </w:rPr>
      </w:pPr>
    </w:p>
    <w:p>
      <w:pPr>
        <w:ind w:left="880" w:right="40" w:hanging="877"/>
        <w:spacing w:after="0" w:line="286" w:lineRule="auto"/>
        <w:tabs>
          <w:tab w:leader="none" w:pos="860" w:val="left"/>
        </w:tabs>
        <w:rPr>
          <w:rFonts w:ascii="Arial" w:cs="Arial" w:eastAsia="Arial" w:hAnsi="Arial"/>
          <w:sz w:val="18"/>
          <w:szCs w:val="18"/>
          <w:color w:val="0000EE"/>
        </w:rPr>
      </w:pPr>
      <w:hyperlink r:id="rId138">
        <w:r>
          <w:rPr>
            <w:rFonts w:ascii="Arial" w:cs="Arial" w:eastAsia="Arial" w:hAnsi="Arial"/>
            <w:sz w:val="18"/>
            <w:szCs w:val="18"/>
            <w:u w:val="single" w:color="auto"/>
            <w:color w:val="0000EE"/>
          </w:rPr>
          <w:t>10.15†</w:t>
        </w:r>
      </w:hyperlink>
      <w:r>
        <w:rPr>
          <w:rFonts w:ascii="Arial" w:cs="Arial" w:eastAsia="Arial" w:hAnsi="Arial"/>
          <w:sz w:val="18"/>
          <w:szCs w:val="18"/>
          <w:color w:val="0000EE"/>
        </w:rPr>
        <w:tab/>
      </w:r>
      <w:r>
        <w:rPr>
          <w:rFonts w:ascii="Arial" w:cs="Arial" w:eastAsia="Arial" w:hAnsi="Arial"/>
          <w:sz w:val="17"/>
          <w:szCs w:val="17"/>
          <w:color w:val="0000EE"/>
        </w:rPr>
        <w:t>Form of Stock Option Agreement under the 2014 Stock Incentive Plan for Key Employees of National Vision Holdings, Inc. (formerly known as Nautilus Parent, Inc.) and its Subsidiaries (incorporated by reference to Exhibit 10.19 to the Registrant’s Registration Statement on Form S-1 filed on September 29, 2017 (File No. 333-220719))</w:t>
      </w:r>
    </w:p>
    <w:p>
      <w:pPr>
        <w:spacing w:after="0" w:line="220" w:lineRule="exact"/>
        <w:rPr>
          <w:sz w:val="20"/>
          <w:szCs w:val="20"/>
          <w:color w:val="auto"/>
        </w:rPr>
      </w:pPr>
    </w:p>
    <w:p>
      <w:pPr>
        <w:ind w:left="880" w:right="720" w:hanging="877"/>
        <w:spacing w:after="0" w:line="308" w:lineRule="auto"/>
        <w:tabs>
          <w:tab w:leader="none" w:pos="860" w:val="left"/>
        </w:tabs>
        <w:rPr>
          <w:rFonts w:ascii="Arial" w:cs="Arial" w:eastAsia="Arial" w:hAnsi="Arial"/>
          <w:sz w:val="18"/>
          <w:szCs w:val="18"/>
          <w:color w:val="0000EE"/>
        </w:rPr>
      </w:pPr>
      <w:hyperlink r:id="rId139">
        <w:r>
          <w:rPr>
            <w:rFonts w:ascii="Arial" w:cs="Arial" w:eastAsia="Arial" w:hAnsi="Arial"/>
            <w:sz w:val="18"/>
            <w:szCs w:val="18"/>
            <w:u w:val="single" w:color="auto"/>
            <w:color w:val="0000EE"/>
          </w:rPr>
          <w:t>10.16†</w:t>
        </w:r>
      </w:hyperlink>
      <w:r>
        <w:rPr>
          <w:rFonts w:ascii="Arial" w:cs="Arial" w:eastAsia="Arial" w:hAnsi="Arial"/>
          <w:sz w:val="18"/>
          <w:szCs w:val="18"/>
          <w:color w:val="0000EE"/>
        </w:rPr>
        <w:tab/>
      </w:r>
      <w:r>
        <w:rPr>
          <w:rFonts w:ascii="Arial" w:cs="Arial" w:eastAsia="Arial" w:hAnsi="Arial"/>
          <w:sz w:val="17"/>
          <w:szCs w:val="17"/>
          <w:color w:val="0000EE"/>
        </w:rPr>
        <w:t>Form of Management Stockholder’s Agreement (incorporated by reference to Exhibit 10.20 to the Registrant’s Registration Statement on Form S-1 filed on September 29, 2017 (File No. 333-220719))</w:t>
      </w:r>
    </w:p>
    <w:p>
      <w:pPr>
        <w:spacing w:after="0" w:line="201" w:lineRule="exact"/>
        <w:rPr>
          <w:sz w:val="20"/>
          <w:szCs w:val="20"/>
          <w:color w:val="auto"/>
        </w:rPr>
      </w:pPr>
    </w:p>
    <w:p>
      <w:pPr>
        <w:ind w:left="880" w:right="600" w:hanging="877"/>
        <w:spacing w:after="0" w:line="277" w:lineRule="auto"/>
        <w:tabs>
          <w:tab w:leader="none" w:pos="860" w:val="left"/>
        </w:tabs>
        <w:rPr>
          <w:rFonts w:ascii="Arial" w:cs="Arial" w:eastAsia="Arial" w:hAnsi="Arial"/>
          <w:sz w:val="18"/>
          <w:szCs w:val="18"/>
          <w:color w:val="0000EE"/>
        </w:rPr>
      </w:pPr>
      <w:hyperlink r:id="rId140">
        <w:r>
          <w:rPr>
            <w:rFonts w:ascii="Arial" w:cs="Arial" w:eastAsia="Arial" w:hAnsi="Arial"/>
            <w:sz w:val="18"/>
            <w:szCs w:val="18"/>
            <w:u w:val="single" w:color="auto"/>
            <w:color w:val="0000EE"/>
          </w:rPr>
          <w:t>10.17†</w:t>
        </w:r>
      </w:hyperlink>
      <w:r>
        <w:rPr>
          <w:rFonts w:ascii="Arial" w:cs="Arial" w:eastAsia="Arial" w:hAnsi="Arial"/>
          <w:sz w:val="18"/>
          <w:szCs w:val="18"/>
          <w:color w:val="0000EE"/>
        </w:rPr>
        <w:tab/>
        <w:t>Form of Option Rollover Agreement (incorporated by reference to Exhibit 10.21 to the Registrant’s Registration Statement on Form S-1 filed on September 29, 2017 (File No. 333-220719))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6" w:name="page77"/>
    <w:bookmarkEnd w:id="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60"/>
          </w:cols>
          <w:pgMar w:left="1180" w:top="279" w:right="1159" w:bottom="1440" w:gutter="0" w:footer="0" w:header="0"/>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546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3760"/>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5539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3880" w:space="720"/>
            <w:col w:w="4960"/>
          </w:cols>
          <w:pgMar w:left="1180" w:top="279" w:right="1159" w:bottom="1440" w:gutter="0" w:footer="0" w:header="0"/>
          <w:type w:val="continuous"/>
        </w:sectPr>
      </w:pPr>
    </w:p>
    <w:p>
      <w:pPr>
        <w:ind w:left="880" w:right="80" w:hanging="877"/>
        <w:spacing w:after="0" w:line="277" w:lineRule="auto"/>
        <w:tabs>
          <w:tab w:leader="none" w:pos="860" w:val="left"/>
        </w:tabs>
        <w:rPr>
          <w:rFonts w:ascii="Arial" w:cs="Arial" w:eastAsia="Arial" w:hAnsi="Arial"/>
          <w:sz w:val="18"/>
          <w:szCs w:val="18"/>
          <w:color w:val="0000EE"/>
        </w:rPr>
      </w:pPr>
      <w:hyperlink r:id="rId144">
        <w:r>
          <w:rPr>
            <w:rFonts w:ascii="Arial" w:cs="Arial" w:eastAsia="Arial" w:hAnsi="Arial"/>
            <w:sz w:val="18"/>
            <w:szCs w:val="18"/>
            <w:u w:val="single" w:color="auto"/>
            <w:color w:val="0000EE"/>
          </w:rPr>
          <w:t>10.18†</w:t>
        </w:r>
      </w:hyperlink>
      <w:r>
        <w:rPr>
          <w:rFonts w:ascii="Arial" w:cs="Arial" w:eastAsia="Arial" w:hAnsi="Arial"/>
          <w:sz w:val="18"/>
          <w:szCs w:val="18"/>
          <w:color w:val="0000EE"/>
        </w:rPr>
        <w:tab/>
        <w:t>Form of Contribution Agreement (incorporated by reference to Exhibit 10.23 to the Registrant’s Registration Statement on Form S-1 filed on September 29, 2017 (File No. 333-220719))</w:t>
      </w:r>
    </w:p>
    <w:p>
      <w:pPr>
        <w:spacing w:after="0" w:line="224" w:lineRule="exact"/>
        <w:rPr>
          <w:sz w:val="20"/>
          <w:szCs w:val="20"/>
          <w:color w:val="auto"/>
        </w:rPr>
      </w:pPr>
    </w:p>
    <w:p>
      <w:pPr>
        <w:jc w:val="both"/>
        <w:ind w:left="880" w:right="480" w:hanging="877"/>
        <w:spacing w:after="0" w:line="264" w:lineRule="auto"/>
        <w:tabs>
          <w:tab w:leader="none" w:pos="860" w:val="left"/>
        </w:tabs>
        <w:rPr>
          <w:rFonts w:ascii="Arial" w:cs="Arial" w:eastAsia="Arial" w:hAnsi="Arial"/>
          <w:sz w:val="18"/>
          <w:szCs w:val="18"/>
          <w:color w:val="0000EE"/>
        </w:rPr>
      </w:pPr>
      <w:hyperlink r:id="rId145">
        <w:r>
          <w:rPr>
            <w:rFonts w:ascii="Arial" w:cs="Arial" w:eastAsia="Arial" w:hAnsi="Arial"/>
            <w:sz w:val="18"/>
            <w:szCs w:val="18"/>
            <w:u w:val="single" w:color="auto"/>
            <w:color w:val="0000EE"/>
          </w:rPr>
          <w:t>10.19†</w:t>
        </w:r>
      </w:hyperlink>
      <w:r>
        <w:rPr>
          <w:rFonts w:ascii="Arial" w:cs="Arial" w:eastAsia="Arial" w:hAnsi="Arial"/>
          <w:sz w:val="18"/>
          <w:szCs w:val="18"/>
          <w:color w:val="0000EE"/>
        </w:rPr>
        <w:tab/>
        <w:t>National Vision, Inc. Severance Plan, as amended and restated as of March 15, 2017 (incorporated by reference to Exhibit 10.24 to the Registrant’s Registration Statement on Form S-1 filed on September 29, 2017 (File No. 333-220719))</w:t>
      </w:r>
    </w:p>
    <w:p>
      <w:pPr>
        <w:spacing w:after="0" w:line="235" w:lineRule="exact"/>
        <w:rPr>
          <w:sz w:val="20"/>
          <w:szCs w:val="20"/>
          <w:color w:val="auto"/>
        </w:rPr>
      </w:pPr>
    </w:p>
    <w:p>
      <w:pPr>
        <w:ind w:left="880" w:right="160" w:hanging="877"/>
        <w:spacing w:after="0" w:line="264" w:lineRule="auto"/>
        <w:tabs>
          <w:tab w:leader="none" w:pos="860" w:val="left"/>
        </w:tabs>
        <w:rPr>
          <w:rFonts w:ascii="Arial" w:cs="Arial" w:eastAsia="Arial" w:hAnsi="Arial"/>
          <w:sz w:val="18"/>
          <w:szCs w:val="18"/>
          <w:color w:val="0000EE"/>
        </w:rPr>
      </w:pPr>
      <w:hyperlink r:id="rId146">
        <w:r>
          <w:rPr>
            <w:rFonts w:ascii="Arial" w:cs="Arial" w:eastAsia="Arial" w:hAnsi="Arial"/>
            <w:sz w:val="18"/>
            <w:szCs w:val="18"/>
            <w:u w:val="single" w:color="auto"/>
            <w:color w:val="0000EE"/>
          </w:rPr>
          <w:t>10.20†</w:t>
        </w:r>
      </w:hyperlink>
      <w:r>
        <w:rPr>
          <w:rFonts w:ascii="Arial" w:cs="Arial" w:eastAsia="Arial" w:hAnsi="Arial"/>
          <w:sz w:val="18"/>
          <w:szCs w:val="18"/>
          <w:color w:val="0000EE"/>
        </w:rPr>
        <w:tab/>
        <w:t>National Vision, Inc. Severance Plan Summary Plan Description (Executives), effective as of July 21, 2011 (incorporated by reference to Exhibit 10.25 to the Registrant’s Registration Statement on Form S-1 filed on September 29, 2017 (File No. 333-220719))</w:t>
      </w:r>
    </w:p>
    <w:p>
      <w:pPr>
        <w:spacing w:after="0" w:line="235" w:lineRule="exact"/>
        <w:rPr>
          <w:sz w:val="20"/>
          <w:szCs w:val="20"/>
          <w:color w:val="auto"/>
        </w:rPr>
      </w:pPr>
    </w:p>
    <w:p>
      <w:pPr>
        <w:ind w:left="880" w:hanging="877"/>
        <w:spacing w:after="0" w:line="264" w:lineRule="auto"/>
        <w:tabs>
          <w:tab w:leader="none" w:pos="860" w:val="left"/>
        </w:tabs>
        <w:rPr>
          <w:rFonts w:ascii="Arial" w:cs="Arial" w:eastAsia="Arial" w:hAnsi="Arial"/>
          <w:sz w:val="18"/>
          <w:szCs w:val="18"/>
          <w:color w:val="0000EE"/>
        </w:rPr>
      </w:pPr>
      <w:hyperlink r:id="rId147">
        <w:r>
          <w:rPr>
            <w:rFonts w:ascii="Arial" w:cs="Arial" w:eastAsia="Arial" w:hAnsi="Arial"/>
            <w:sz w:val="18"/>
            <w:szCs w:val="18"/>
            <w:u w:val="single" w:color="auto"/>
            <w:color w:val="0000EE"/>
          </w:rPr>
          <w:t>10.21†</w:t>
        </w:r>
      </w:hyperlink>
      <w:r>
        <w:rPr>
          <w:rFonts w:ascii="Arial" w:cs="Arial" w:eastAsia="Arial" w:hAnsi="Arial"/>
          <w:sz w:val="18"/>
          <w:szCs w:val="18"/>
          <w:color w:val="0000EE"/>
        </w:rPr>
        <w:tab/>
        <w:t>National Vision, Inc. Severance Plan Executive Supplement, effective as of November 11, 2013 and amended as of March 15, 2017 (incorporated by reference to Exhibit 10.26 to the Registrant’s Registration Statement on Form S-1 filed on September 29, 2017 (File No. 333-220719))</w:t>
      </w:r>
    </w:p>
    <w:p>
      <w:pPr>
        <w:spacing w:after="0" w:line="235" w:lineRule="exact"/>
        <w:rPr>
          <w:sz w:val="20"/>
          <w:szCs w:val="20"/>
          <w:color w:val="auto"/>
        </w:rPr>
      </w:pPr>
    </w:p>
    <w:p>
      <w:pPr>
        <w:ind w:left="880" w:right="600" w:hanging="877"/>
        <w:spacing w:after="0" w:line="277" w:lineRule="auto"/>
        <w:tabs>
          <w:tab w:leader="none" w:pos="860" w:val="left"/>
        </w:tabs>
        <w:rPr>
          <w:rFonts w:ascii="Arial" w:cs="Arial" w:eastAsia="Arial" w:hAnsi="Arial"/>
          <w:sz w:val="18"/>
          <w:szCs w:val="18"/>
          <w:color w:val="0000EE"/>
        </w:rPr>
      </w:pPr>
      <w:hyperlink r:id="rId148">
        <w:r>
          <w:rPr>
            <w:rFonts w:ascii="Arial" w:cs="Arial" w:eastAsia="Arial" w:hAnsi="Arial"/>
            <w:sz w:val="18"/>
            <w:szCs w:val="18"/>
            <w:u w:val="single" w:color="auto"/>
            <w:color w:val="0000EE"/>
          </w:rPr>
          <w:t>10.22†</w:t>
        </w:r>
      </w:hyperlink>
      <w:r>
        <w:rPr>
          <w:rFonts w:ascii="Arial" w:cs="Arial" w:eastAsia="Arial" w:hAnsi="Arial"/>
          <w:sz w:val="18"/>
          <w:szCs w:val="18"/>
          <w:color w:val="0000EE"/>
        </w:rPr>
        <w:tab/>
        <w:t>National Vision, Inc. Management Incentive Plan (incorporated by reference to Exhibit 10.27 to the Registrant’s Registration Statement on Form S-1 filed on September 29, 2017 (File No. 333-220719))</w:t>
      </w:r>
    </w:p>
    <w:p>
      <w:pPr>
        <w:spacing w:after="0" w:line="224" w:lineRule="exact"/>
        <w:rPr>
          <w:sz w:val="20"/>
          <w:szCs w:val="20"/>
          <w:color w:val="auto"/>
        </w:rPr>
      </w:pPr>
    </w:p>
    <w:p>
      <w:pPr>
        <w:ind w:left="880" w:right="200" w:hanging="877"/>
        <w:spacing w:after="0" w:line="279" w:lineRule="auto"/>
        <w:tabs>
          <w:tab w:leader="none" w:pos="860" w:val="left"/>
        </w:tabs>
        <w:rPr>
          <w:rFonts w:ascii="Arial" w:cs="Arial" w:eastAsia="Arial" w:hAnsi="Arial"/>
          <w:sz w:val="18"/>
          <w:szCs w:val="18"/>
          <w:color w:val="0000EE"/>
        </w:rPr>
      </w:pPr>
      <w:hyperlink r:id="rId149">
        <w:r>
          <w:rPr>
            <w:rFonts w:ascii="Arial" w:cs="Arial" w:eastAsia="Arial" w:hAnsi="Arial"/>
            <w:sz w:val="18"/>
            <w:szCs w:val="18"/>
            <w:u w:val="single" w:color="auto"/>
            <w:color w:val="0000EE"/>
          </w:rPr>
          <w:t>10.23</w:t>
        </w:r>
      </w:hyperlink>
      <w:r>
        <w:rPr>
          <w:rFonts w:ascii="Arial" w:cs="Arial" w:eastAsia="Arial" w:hAnsi="Arial"/>
          <w:sz w:val="18"/>
          <w:szCs w:val="18"/>
          <w:color w:val="0000EE"/>
        </w:rPr>
        <w:tab/>
      </w:r>
      <w:r>
        <w:rPr>
          <w:rFonts w:ascii="Arial" w:cs="Arial" w:eastAsia="Arial" w:hAnsi="Arial"/>
          <w:sz w:val="17"/>
          <w:szCs w:val="17"/>
          <w:color w:val="0000EE"/>
        </w:rPr>
        <w:t>Indemnification Agreement, dated as of March 13, 2014, among National Vision Holdings, Inc. (formerly known as Nautilus Parent, Inc.), Nautilus Acquisition Holdings, Inc., Vision Holding Corp., National Vision, Inc., Kohlberg Kravis Roberts &amp; Co. L.P. and Berkshire Partners LLC (incorporated by reference to Exhibit 10.28 to the Registrant’s Registration Statement on Form S-1 filed on September 29, 2017 (File No. 333-220719))</w:t>
      </w:r>
    </w:p>
    <w:p>
      <w:pPr>
        <w:spacing w:after="0" w:line="225" w:lineRule="exact"/>
        <w:rPr>
          <w:sz w:val="20"/>
          <w:szCs w:val="20"/>
          <w:color w:val="auto"/>
        </w:rPr>
      </w:pPr>
    </w:p>
    <w:p>
      <w:pPr>
        <w:ind w:left="880" w:right="120" w:hanging="877"/>
        <w:spacing w:after="0" w:line="264" w:lineRule="auto"/>
        <w:tabs>
          <w:tab w:leader="none" w:pos="860" w:val="left"/>
        </w:tabs>
        <w:rPr>
          <w:rFonts w:ascii="Arial" w:cs="Arial" w:eastAsia="Arial" w:hAnsi="Arial"/>
          <w:sz w:val="18"/>
          <w:szCs w:val="18"/>
          <w:color w:val="0000EE"/>
        </w:rPr>
      </w:pPr>
      <w:hyperlink r:id="rId150">
        <w:r>
          <w:rPr>
            <w:rFonts w:ascii="Arial" w:cs="Arial" w:eastAsia="Arial" w:hAnsi="Arial"/>
            <w:sz w:val="18"/>
            <w:szCs w:val="18"/>
            <w:u w:val="single" w:color="auto"/>
            <w:color w:val="0000EE"/>
          </w:rPr>
          <w:t>10.24‡</w:t>
        </w:r>
      </w:hyperlink>
      <w:r>
        <w:rPr>
          <w:rFonts w:ascii="Arial" w:cs="Arial" w:eastAsia="Arial" w:hAnsi="Arial"/>
          <w:sz w:val="18"/>
          <w:szCs w:val="18"/>
          <w:color w:val="0000EE"/>
        </w:rPr>
        <w:tab/>
        <w:t>Letter Agreement between National Vision, Inc. and Essilor of America, Inc., dated as of May 25, 2011 (incorporated by reference to Exhibit 10.29 to the Registrant’s Registration Statement on Form S-1 filed on September 29, 2017 (File No. 333-220719))</w:t>
      </w:r>
    </w:p>
    <w:p>
      <w:pPr>
        <w:spacing w:after="0" w:line="235" w:lineRule="exact"/>
        <w:rPr>
          <w:sz w:val="20"/>
          <w:szCs w:val="20"/>
          <w:color w:val="auto"/>
        </w:rPr>
      </w:pPr>
    </w:p>
    <w:p>
      <w:pPr>
        <w:ind w:left="880" w:right="160" w:hanging="877"/>
        <w:spacing w:after="0" w:line="264" w:lineRule="auto"/>
        <w:tabs>
          <w:tab w:leader="none" w:pos="860" w:val="left"/>
        </w:tabs>
        <w:rPr>
          <w:rFonts w:ascii="Arial" w:cs="Arial" w:eastAsia="Arial" w:hAnsi="Arial"/>
          <w:sz w:val="18"/>
          <w:szCs w:val="18"/>
          <w:color w:val="0000EE"/>
        </w:rPr>
      </w:pPr>
      <w:hyperlink r:id="rId151">
        <w:r>
          <w:rPr>
            <w:rFonts w:ascii="Arial" w:cs="Arial" w:eastAsia="Arial" w:hAnsi="Arial"/>
            <w:sz w:val="18"/>
            <w:szCs w:val="18"/>
            <w:u w:val="single" w:color="auto"/>
            <w:color w:val="0000EE"/>
          </w:rPr>
          <w:t>10.25‡</w:t>
        </w:r>
      </w:hyperlink>
      <w:r>
        <w:rPr>
          <w:rFonts w:ascii="Arial" w:cs="Arial" w:eastAsia="Arial" w:hAnsi="Arial"/>
          <w:sz w:val="18"/>
          <w:szCs w:val="18"/>
          <w:color w:val="0000EE"/>
        </w:rPr>
        <w:tab/>
        <w:t>Letter of Amendment between National Vision, Inc. and Essilor of America, Inc., dated as of December 2, 2014 (incorporated by reference to Exhibit 10.30 to the Registrant’s Registration Statement on Form S-1 filed on September 29, 2017 (File No. 333-220719))</w:t>
      </w:r>
    </w:p>
    <w:p>
      <w:pPr>
        <w:spacing w:after="0" w:line="235" w:lineRule="exact"/>
        <w:rPr>
          <w:sz w:val="20"/>
          <w:szCs w:val="20"/>
          <w:color w:val="auto"/>
        </w:rPr>
      </w:pPr>
    </w:p>
    <w:p>
      <w:pPr>
        <w:ind w:left="880" w:right="20" w:hanging="877"/>
        <w:spacing w:after="0" w:line="264" w:lineRule="auto"/>
        <w:tabs>
          <w:tab w:leader="none" w:pos="860" w:val="left"/>
        </w:tabs>
        <w:rPr>
          <w:rFonts w:ascii="Arial" w:cs="Arial" w:eastAsia="Arial" w:hAnsi="Arial"/>
          <w:sz w:val="18"/>
          <w:szCs w:val="18"/>
          <w:color w:val="0000EE"/>
        </w:rPr>
      </w:pPr>
      <w:hyperlink r:id="rId152">
        <w:r>
          <w:rPr>
            <w:rFonts w:ascii="Arial" w:cs="Arial" w:eastAsia="Arial" w:hAnsi="Arial"/>
            <w:sz w:val="18"/>
            <w:szCs w:val="18"/>
            <w:u w:val="single" w:color="auto"/>
            <w:color w:val="0000EE"/>
          </w:rPr>
          <w:t>10.26‡</w:t>
        </w:r>
      </w:hyperlink>
      <w:r>
        <w:rPr>
          <w:rFonts w:ascii="Arial" w:cs="Arial" w:eastAsia="Arial" w:hAnsi="Arial"/>
          <w:sz w:val="18"/>
          <w:szCs w:val="18"/>
          <w:color w:val="0000EE"/>
        </w:rPr>
        <w:tab/>
        <w:t>Management &amp; Services Agreement by and between National Vision, Inc. and Wal-Mart Stores, Inc., dated as of May 1, 2012 (incorporated by reference to Exhibit 10.31 to Amendment No. 2 to the Registrant’s Registration Statement on Form S-1 filed on October 16, 2017 (File No. 333-220719))</w:t>
      </w:r>
    </w:p>
    <w:p>
      <w:pPr>
        <w:spacing w:after="0" w:line="235" w:lineRule="exact"/>
        <w:rPr>
          <w:sz w:val="20"/>
          <w:szCs w:val="20"/>
          <w:color w:val="auto"/>
        </w:rPr>
      </w:pPr>
    </w:p>
    <w:p>
      <w:pPr>
        <w:ind w:left="880" w:right="300" w:hanging="877"/>
        <w:spacing w:after="0" w:line="264" w:lineRule="auto"/>
        <w:tabs>
          <w:tab w:leader="none" w:pos="860" w:val="left"/>
        </w:tabs>
        <w:rPr>
          <w:rFonts w:ascii="Arial" w:cs="Arial" w:eastAsia="Arial" w:hAnsi="Arial"/>
          <w:sz w:val="18"/>
          <w:szCs w:val="18"/>
          <w:color w:val="0000EE"/>
        </w:rPr>
      </w:pPr>
      <w:hyperlink r:id="rId153">
        <w:r>
          <w:rPr>
            <w:rFonts w:ascii="Arial" w:cs="Arial" w:eastAsia="Arial" w:hAnsi="Arial"/>
            <w:sz w:val="18"/>
            <w:szCs w:val="18"/>
            <w:u w:val="single" w:color="auto"/>
            <w:color w:val="0000EE"/>
          </w:rPr>
          <w:t>10.27</w:t>
        </w:r>
      </w:hyperlink>
      <w:r>
        <w:rPr>
          <w:rFonts w:ascii="Arial" w:cs="Arial" w:eastAsia="Arial" w:hAnsi="Arial"/>
          <w:sz w:val="18"/>
          <w:szCs w:val="18"/>
          <w:color w:val="0000EE"/>
        </w:rPr>
        <w:tab/>
        <w:t>Letter Agreement by and between National Vision, Inc. and Wal-Mart Stores, Inc. re: Management &amp; Services Agreement, dated as of January 11, 2017 (incorporated by reference to Exhibit 10.32 to the Registrant’s Registration Statement on Form S-1 filed on September 29, 2017 (File No. 333-220719))</w:t>
      </w:r>
    </w:p>
    <w:p>
      <w:pPr>
        <w:spacing w:after="0" w:line="235" w:lineRule="exact"/>
        <w:rPr>
          <w:sz w:val="20"/>
          <w:szCs w:val="20"/>
          <w:color w:val="auto"/>
        </w:rPr>
      </w:pPr>
    </w:p>
    <w:p>
      <w:pPr>
        <w:jc w:val="both"/>
        <w:ind w:left="880" w:right="160" w:hanging="877"/>
        <w:spacing w:after="0" w:line="264" w:lineRule="auto"/>
        <w:tabs>
          <w:tab w:leader="none" w:pos="860" w:val="left"/>
        </w:tabs>
        <w:rPr>
          <w:rFonts w:ascii="Arial" w:cs="Arial" w:eastAsia="Arial" w:hAnsi="Arial"/>
          <w:sz w:val="18"/>
          <w:szCs w:val="18"/>
          <w:color w:val="0000EE"/>
        </w:rPr>
      </w:pPr>
      <w:hyperlink r:id="rId154">
        <w:r>
          <w:rPr>
            <w:rFonts w:ascii="Arial" w:cs="Arial" w:eastAsia="Arial" w:hAnsi="Arial"/>
            <w:sz w:val="18"/>
            <w:szCs w:val="18"/>
            <w:u w:val="single" w:color="auto"/>
            <w:color w:val="0000EE"/>
          </w:rPr>
          <w:t>10.28‡</w:t>
        </w:r>
      </w:hyperlink>
      <w:r>
        <w:rPr>
          <w:rFonts w:ascii="Arial" w:cs="Arial" w:eastAsia="Arial" w:hAnsi="Arial"/>
          <w:sz w:val="18"/>
          <w:szCs w:val="18"/>
          <w:color w:val="0000EE"/>
        </w:rPr>
        <w:tab/>
        <w:t>Amended and Restated Supplier Agreement between National Vision, Inc. and Walmart, dated as of January 17, 2017 (incorporated by reference to Exhibit 10.33 to the Registrant’s Registration Statement on Form S-1 filed on September 29, 2017 (File No. 333-220719))</w:t>
      </w:r>
    </w:p>
    <w:p>
      <w:pPr>
        <w:spacing w:after="0" w:line="235" w:lineRule="exact"/>
        <w:rPr>
          <w:sz w:val="20"/>
          <w:szCs w:val="20"/>
          <w:color w:val="auto"/>
        </w:rPr>
      </w:pPr>
    </w:p>
    <w:p>
      <w:pPr>
        <w:jc w:val="both"/>
        <w:ind w:left="880" w:right="220" w:hanging="877"/>
        <w:spacing w:after="0" w:line="264" w:lineRule="auto"/>
        <w:tabs>
          <w:tab w:leader="none" w:pos="860" w:val="left"/>
        </w:tabs>
        <w:rPr>
          <w:rFonts w:ascii="Arial" w:cs="Arial" w:eastAsia="Arial" w:hAnsi="Arial"/>
          <w:sz w:val="18"/>
          <w:szCs w:val="18"/>
          <w:color w:val="0000EE"/>
        </w:rPr>
      </w:pPr>
      <w:hyperlink r:id="rId155">
        <w:r>
          <w:rPr>
            <w:rFonts w:ascii="Arial" w:cs="Arial" w:eastAsia="Arial" w:hAnsi="Arial"/>
            <w:sz w:val="18"/>
            <w:szCs w:val="18"/>
            <w:u w:val="single" w:color="auto"/>
            <w:color w:val="0000EE"/>
          </w:rPr>
          <w:t>10.29</w:t>
        </w:r>
      </w:hyperlink>
      <w:r>
        <w:rPr>
          <w:rFonts w:ascii="Arial" w:cs="Arial" w:eastAsia="Arial" w:hAnsi="Arial"/>
          <w:sz w:val="18"/>
          <w:szCs w:val="18"/>
          <w:color w:val="0000EE"/>
        </w:rPr>
        <w:tab/>
        <w:t>Letter Agreement between National Vision, Inc. and Essilor of America, Inc. dated as of March 9, 2018 (incorporated by reference to Exhibit 10.1 to the Registrant’s Quarterly Report on Form 10-Q filed on May 15, 2018 (File No. 001-38257))</w:t>
      </w:r>
    </w:p>
    <w:p>
      <w:pPr>
        <w:spacing w:after="0" w:line="235" w:lineRule="exact"/>
        <w:rPr>
          <w:sz w:val="20"/>
          <w:szCs w:val="20"/>
          <w:color w:val="auto"/>
        </w:rPr>
      </w:pPr>
    </w:p>
    <w:p>
      <w:pPr>
        <w:spacing w:after="0"/>
        <w:tabs>
          <w:tab w:leader="none" w:pos="860" w:val="left"/>
        </w:tabs>
        <w:rPr>
          <w:rFonts w:ascii="Arial" w:cs="Arial" w:eastAsia="Arial" w:hAnsi="Arial"/>
          <w:sz w:val="18"/>
          <w:szCs w:val="18"/>
          <w:color w:val="0000EE"/>
        </w:rPr>
      </w:pPr>
      <w:hyperlink r:id="rId156">
        <w:r>
          <w:rPr>
            <w:rFonts w:ascii="Arial" w:cs="Arial" w:eastAsia="Arial" w:hAnsi="Arial"/>
            <w:sz w:val="18"/>
            <w:szCs w:val="18"/>
            <w:u w:val="single" w:color="auto"/>
            <w:color w:val="0000EE"/>
          </w:rPr>
          <w:t>10.30†</w:t>
        </w:r>
      </w:hyperlink>
      <w:r>
        <w:rPr>
          <w:rFonts w:ascii="Arial" w:cs="Arial" w:eastAsia="Arial" w:hAnsi="Arial"/>
          <w:sz w:val="18"/>
          <w:szCs w:val="18"/>
          <w:color w:val="0000EE"/>
        </w:rPr>
        <w:tab/>
      </w:r>
      <w:r>
        <w:rPr>
          <w:rFonts w:ascii="Arial" w:cs="Arial" w:eastAsia="Arial" w:hAnsi="Arial"/>
          <w:sz w:val="16"/>
          <w:szCs w:val="16"/>
          <w:color w:val="0000EE"/>
        </w:rPr>
        <w:t>Option Agreement for Patrick R. Moore under the 2017 Omnibus Incentive Plan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10.34 to Amendment No. 2 to the Registrant’s Registration Statement on Form S-1 filed on October 16, 2017 (File No.</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333-220719))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7" w:name="page78"/>
    <w:bookmarkEnd w:id="77"/>
    <w:p>
      <w:pPr>
        <w:ind w:left="7"/>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67"/>
          </w:cols>
          <w:pgMar w:left="1173" w:top="279" w:right="1159" w:bottom="1440" w:gutter="0" w:footer="0" w:header="0"/>
        </w:sectPr>
      </w:pPr>
    </w:p>
    <w:p>
      <w:pPr>
        <w:spacing w:after="0" w:line="150" w:lineRule="exact"/>
        <w:rPr>
          <w:sz w:val="20"/>
          <w:szCs w:val="20"/>
          <w:color w:val="auto"/>
        </w:rPr>
      </w:pPr>
    </w:p>
    <w:p>
      <w:pPr>
        <w:ind w:left="107"/>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67"/>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546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3760"/>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55397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3887" w:space="720"/>
            <w:col w:w="4960"/>
          </w:cols>
          <w:pgMar w:left="1173" w:top="279" w:right="1159" w:bottom="1440" w:gutter="0" w:footer="0" w:header="0"/>
          <w:type w:val="continuous"/>
        </w:sectPr>
      </w:pPr>
    </w:p>
    <w:p>
      <w:pPr>
        <w:ind w:left="887" w:right="40" w:hanging="877"/>
        <w:spacing w:after="0" w:line="259" w:lineRule="auto"/>
        <w:tabs>
          <w:tab w:leader="none" w:pos="866" w:val="left"/>
        </w:tabs>
        <w:rPr>
          <w:rFonts w:ascii="Arial" w:cs="Arial" w:eastAsia="Arial" w:hAnsi="Arial"/>
          <w:sz w:val="18"/>
          <w:szCs w:val="18"/>
          <w:color w:val="0000EE"/>
        </w:rPr>
      </w:pPr>
      <w:hyperlink r:id="rId160">
        <w:r>
          <w:rPr>
            <w:rFonts w:ascii="Arial" w:cs="Arial" w:eastAsia="Arial" w:hAnsi="Arial"/>
            <w:sz w:val="18"/>
            <w:szCs w:val="18"/>
            <w:u w:val="single" w:color="auto"/>
            <w:color w:val="0000EE"/>
          </w:rPr>
          <w:t>10.31†</w:t>
        </w:r>
      </w:hyperlink>
      <w:r>
        <w:rPr>
          <w:rFonts w:ascii="Arial" w:cs="Arial" w:eastAsia="Arial" w:hAnsi="Arial"/>
          <w:sz w:val="18"/>
          <w:szCs w:val="18"/>
          <w:color w:val="0000EE"/>
        </w:rPr>
        <w:tab/>
        <w:t>Restricted Stock Award Agreement for David M. Tehle under the 2014 Stock Incentive Plan for Key Employees of National Vision Holdings, Inc. (formerly known as Nautilus Parent, Inc.) and its Subsidiaries (incorporated by reference to Exhibit 10.35 to Amendment No. 2 to the Registrant’s Registration Statement on Form S-1 filed on October 16, 2017 (File No. 333-220719))</w:t>
      </w:r>
    </w:p>
    <w:p>
      <w:pPr>
        <w:spacing w:after="0" w:line="241" w:lineRule="exact"/>
        <w:rPr>
          <w:sz w:val="20"/>
          <w:szCs w:val="20"/>
          <w:color w:val="auto"/>
        </w:rPr>
      </w:pPr>
    </w:p>
    <w:p>
      <w:pPr>
        <w:ind w:left="887" w:right="240" w:hanging="877"/>
        <w:spacing w:after="0" w:line="308" w:lineRule="auto"/>
        <w:tabs>
          <w:tab w:leader="none" w:pos="866" w:val="left"/>
        </w:tabs>
        <w:rPr>
          <w:rFonts w:ascii="Arial" w:cs="Arial" w:eastAsia="Arial" w:hAnsi="Arial"/>
          <w:sz w:val="18"/>
          <w:szCs w:val="18"/>
          <w:color w:val="0000EE"/>
        </w:rPr>
      </w:pPr>
      <w:hyperlink r:id="rId161">
        <w:r>
          <w:rPr>
            <w:rFonts w:ascii="Arial" w:cs="Arial" w:eastAsia="Arial" w:hAnsi="Arial"/>
            <w:sz w:val="18"/>
            <w:szCs w:val="18"/>
            <w:u w:val="single" w:color="auto"/>
            <w:color w:val="0000EE"/>
          </w:rPr>
          <w:t>10.32†</w:t>
        </w:r>
      </w:hyperlink>
      <w:r>
        <w:rPr>
          <w:rFonts w:ascii="Arial" w:cs="Arial" w:eastAsia="Arial" w:hAnsi="Arial"/>
          <w:sz w:val="18"/>
          <w:szCs w:val="18"/>
          <w:color w:val="0000EE"/>
        </w:rPr>
        <w:tab/>
      </w:r>
      <w:r>
        <w:rPr>
          <w:rFonts w:ascii="Arial" w:cs="Arial" w:eastAsia="Arial" w:hAnsi="Arial"/>
          <w:sz w:val="17"/>
          <w:szCs w:val="17"/>
          <w:color w:val="0000EE"/>
        </w:rPr>
        <w:t>Form of Director Indemnification Agreement (incorporated by reference to Exhibit 10.36 to Amendment No. 2 to the Registrant’s Registration Statement on Form S-1 filed on October 16, 2017 (File No. 333-220719))</w:t>
      </w:r>
    </w:p>
    <w:p>
      <w:pPr>
        <w:spacing w:after="0" w:line="201" w:lineRule="exact"/>
        <w:rPr>
          <w:sz w:val="20"/>
          <w:szCs w:val="20"/>
          <w:color w:val="auto"/>
        </w:rPr>
      </w:pPr>
    </w:p>
    <w:p>
      <w:pPr>
        <w:ind w:left="887" w:right="20" w:hanging="877"/>
        <w:spacing w:after="0" w:line="277" w:lineRule="auto"/>
        <w:tabs>
          <w:tab w:leader="none" w:pos="866" w:val="left"/>
        </w:tabs>
        <w:rPr>
          <w:rFonts w:ascii="Arial" w:cs="Arial" w:eastAsia="Arial" w:hAnsi="Arial"/>
          <w:sz w:val="18"/>
          <w:szCs w:val="18"/>
          <w:color w:val="0000EE"/>
        </w:rPr>
      </w:pPr>
      <w:hyperlink r:id="rId162">
        <w:r>
          <w:rPr>
            <w:rFonts w:ascii="Arial" w:cs="Arial" w:eastAsia="Arial" w:hAnsi="Arial"/>
            <w:sz w:val="18"/>
            <w:szCs w:val="18"/>
            <w:u w:val="single" w:color="auto"/>
            <w:color w:val="0000EE"/>
          </w:rPr>
          <w:t>10.33†</w:t>
        </w:r>
      </w:hyperlink>
      <w:r>
        <w:rPr>
          <w:rFonts w:ascii="Arial" w:cs="Arial" w:eastAsia="Arial" w:hAnsi="Arial"/>
          <w:sz w:val="18"/>
          <w:szCs w:val="18"/>
          <w:color w:val="0000EE"/>
        </w:rPr>
        <w:tab/>
        <w:t>Form of Director Stockholder’s Agreement (incorporated by reference to Exhibit 10.1 to the Registrant’s Current Report on Form 8-K filed on January 23, 2018 (File No. 001-38257))</w:t>
      </w:r>
    </w:p>
    <w:p>
      <w:pPr>
        <w:spacing w:after="0" w:line="224" w:lineRule="exact"/>
        <w:rPr>
          <w:sz w:val="20"/>
          <w:szCs w:val="20"/>
          <w:color w:val="auto"/>
        </w:rPr>
      </w:pPr>
    </w:p>
    <w:p>
      <w:pPr>
        <w:ind w:left="887" w:right="240" w:hanging="877"/>
        <w:spacing w:after="0" w:line="308" w:lineRule="auto"/>
        <w:tabs>
          <w:tab w:leader="none" w:pos="866" w:val="left"/>
        </w:tabs>
        <w:rPr>
          <w:rFonts w:ascii="Arial" w:cs="Arial" w:eastAsia="Arial" w:hAnsi="Arial"/>
          <w:sz w:val="18"/>
          <w:szCs w:val="18"/>
          <w:color w:val="0000EE"/>
        </w:rPr>
      </w:pPr>
      <w:hyperlink r:id="rId163">
        <w:r>
          <w:rPr>
            <w:rFonts w:ascii="Arial" w:cs="Arial" w:eastAsia="Arial" w:hAnsi="Arial"/>
            <w:sz w:val="18"/>
            <w:szCs w:val="18"/>
            <w:u w:val="single" w:color="auto"/>
            <w:color w:val="0000EE"/>
          </w:rPr>
          <w:t>10.34†</w:t>
        </w:r>
      </w:hyperlink>
      <w:r>
        <w:rPr>
          <w:rFonts w:ascii="Arial" w:cs="Arial" w:eastAsia="Arial" w:hAnsi="Arial"/>
          <w:sz w:val="18"/>
          <w:szCs w:val="18"/>
          <w:color w:val="0000EE"/>
        </w:rPr>
        <w:tab/>
      </w:r>
      <w:r>
        <w:rPr>
          <w:rFonts w:ascii="Arial" w:cs="Arial" w:eastAsia="Arial" w:hAnsi="Arial"/>
          <w:sz w:val="17"/>
          <w:szCs w:val="17"/>
          <w:color w:val="0000EE"/>
        </w:rPr>
        <w:t>Vision Holding Corp. Amended and Restated 2013 Equity Incentive Plan (incorporated by reference to Exhibit 4.4 to the Registrant’s Registration Statement on Form S-8 filed on October 26, 2017 (File No. 333-221131))</w:t>
      </w:r>
    </w:p>
    <w:p>
      <w:pPr>
        <w:spacing w:after="0" w:line="201" w:lineRule="exact"/>
        <w:rPr>
          <w:sz w:val="20"/>
          <w:szCs w:val="20"/>
          <w:color w:val="auto"/>
        </w:rPr>
      </w:pPr>
    </w:p>
    <w:p>
      <w:pPr>
        <w:ind w:left="887" w:hanging="877"/>
        <w:spacing w:after="0" w:line="286" w:lineRule="auto"/>
        <w:tabs>
          <w:tab w:leader="none" w:pos="866" w:val="left"/>
        </w:tabs>
        <w:rPr>
          <w:rFonts w:ascii="Arial" w:cs="Arial" w:eastAsia="Arial" w:hAnsi="Arial"/>
          <w:sz w:val="18"/>
          <w:szCs w:val="18"/>
          <w:color w:val="0000EE"/>
        </w:rPr>
      </w:pPr>
      <w:hyperlink r:id="rId164">
        <w:r>
          <w:rPr>
            <w:rFonts w:ascii="Arial" w:cs="Arial" w:eastAsia="Arial" w:hAnsi="Arial"/>
            <w:sz w:val="18"/>
            <w:szCs w:val="18"/>
            <w:u w:val="single" w:color="auto"/>
            <w:color w:val="0000EE"/>
          </w:rPr>
          <w:t>10.35†</w:t>
        </w:r>
      </w:hyperlink>
      <w:r>
        <w:rPr>
          <w:rFonts w:ascii="Arial" w:cs="Arial" w:eastAsia="Arial" w:hAnsi="Arial"/>
          <w:sz w:val="18"/>
          <w:szCs w:val="18"/>
          <w:color w:val="0000EE"/>
        </w:rPr>
        <w:tab/>
      </w:r>
      <w:r>
        <w:rPr>
          <w:rFonts w:ascii="Arial" w:cs="Arial" w:eastAsia="Arial" w:hAnsi="Arial"/>
          <w:sz w:val="17"/>
          <w:szCs w:val="17"/>
          <w:color w:val="0000EE"/>
        </w:rPr>
        <w:t>Option Agreement for Jeff McAllister under the 2014 Stock Incentive Plan for Key Employees of National Vision Holdings, Inc. (formerly known as Nautilus Parent, Inc.) and its Subsidiaries (incorporated by reference to Exhibit 10.39 to the Registrant’s Annual Report on Form 10-K filed on March 8, 2018 (File No. 001-38257))</w:t>
      </w:r>
    </w:p>
    <w:p>
      <w:pPr>
        <w:spacing w:after="0" w:line="220" w:lineRule="exact"/>
        <w:rPr>
          <w:sz w:val="20"/>
          <w:szCs w:val="20"/>
          <w:color w:val="auto"/>
        </w:rPr>
      </w:pPr>
    </w:p>
    <w:p>
      <w:pPr>
        <w:ind w:left="887" w:right="240" w:hanging="877"/>
        <w:spacing w:after="0" w:line="308" w:lineRule="auto"/>
        <w:tabs>
          <w:tab w:leader="none" w:pos="866" w:val="left"/>
        </w:tabs>
        <w:rPr>
          <w:rFonts w:ascii="Arial" w:cs="Arial" w:eastAsia="Arial" w:hAnsi="Arial"/>
          <w:sz w:val="18"/>
          <w:szCs w:val="18"/>
          <w:color w:val="0000EE"/>
        </w:rPr>
      </w:pPr>
      <w:hyperlink r:id="rId165">
        <w:r>
          <w:rPr>
            <w:rFonts w:ascii="Arial" w:cs="Arial" w:eastAsia="Arial" w:hAnsi="Arial"/>
            <w:sz w:val="18"/>
            <w:szCs w:val="18"/>
            <w:u w:val="single" w:color="auto"/>
            <w:color w:val="0000EE"/>
          </w:rPr>
          <w:t>10.36†</w:t>
        </w:r>
      </w:hyperlink>
      <w:r>
        <w:rPr>
          <w:rFonts w:ascii="Arial" w:cs="Arial" w:eastAsia="Arial" w:hAnsi="Arial"/>
          <w:sz w:val="18"/>
          <w:szCs w:val="18"/>
          <w:color w:val="0000EE"/>
        </w:rPr>
        <w:tab/>
      </w:r>
      <w:r>
        <w:rPr>
          <w:rFonts w:ascii="Arial" w:cs="Arial" w:eastAsia="Arial" w:hAnsi="Arial"/>
          <w:sz w:val="17"/>
          <w:szCs w:val="17"/>
          <w:color w:val="0000EE"/>
        </w:rPr>
        <w:t>National Vision Holdings, Inc. 2018 Associate Stock Purchase Plan (incorporated herein by reference to Exhibit A of the Company’s Definitive Proxy Statement on Schedule 14A filed on April 25, 2018 (File No. 001-38257))</w:t>
      </w:r>
    </w:p>
    <w:p>
      <w:pPr>
        <w:spacing w:after="0" w:line="201" w:lineRule="exact"/>
        <w:rPr>
          <w:sz w:val="20"/>
          <w:szCs w:val="20"/>
          <w:color w:val="auto"/>
        </w:rPr>
      </w:pPr>
    </w:p>
    <w:p>
      <w:pPr>
        <w:ind w:left="887" w:right="360" w:hanging="877"/>
        <w:spacing w:after="0" w:line="277" w:lineRule="auto"/>
        <w:tabs>
          <w:tab w:leader="none" w:pos="866" w:val="left"/>
        </w:tabs>
        <w:rPr>
          <w:rFonts w:ascii="Arial" w:cs="Arial" w:eastAsia="Arial" w:hAnsi="Arial"/>
          <w:sz w:val="18"/>
          <w:szCs w:val="18"/>
          <w:color w:val="0000EE"/>
        </w:rPr>
      </w:pPr>
      <w:hyperlink r:id="rId166">
        <w:r>
          <w:rPr>
            <w:rFonts w:ascii="Arial" w:cs="Arial" w:eastAsia="Arial" w:hAnsi="Arial"/>
            <w:sz w:val="18"/>
            <w:szCs w:val="18"/>
            <w:u w:val="single" w:color="auto"/>
            <w:color w:val="0000EE"/>
          </w:rPr>
          <w:t>21.1</w:t>
        </w:r>
      </w:hyperlink>
      <w:r>
        <w:rPr>
          <w:rFonts w:ascii="Arial" w:cs="Arial" w:eastAsia="Arial" w:hAnsi="Arial"/>
          <w:sz w:val="18"/>
          <w:szCs w:val="18"/>
          <w:color w:val="0000EE"/>
        </w:rPr>
        <w:tab/>
        <w:t>Subsidiaries of National Vision Holdings, Inc. (incorporated by reference to Exhibit 21.1 to the Registrant’s Annual Report on Form 10-K, filed on March 8, 2018 (File No. 001-38257))</w:t>
      </w:r>
    </w:p>
    <w:p>
      <w:pPr>
        <w:spacing w:after="0" w:line="224" w:lineRule="exact"/>
        <w:rPr>
          <w:sz w:val="20"/>
          <w:szCs w:val="20"/>
          <w:color w:val="auto"/>
        </w:rPr>
      </w:pPr>
    </w:p>
    <w:p>
      <w:pPr>
        <w:ind w:left="7"/>
        <w:spacing w:after="0"/>
        <w:tabs>
          <w:tab w:leader="none" w:pos="866"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color w:val="auto"/>
        </w:rPr>
        <w:t>Consent of Simpson Thacher &amp; Bartlett LLP (included in Exhibit 5.1)</w:t>
      </w:r>
    </w:p>
    <w:p>
      <w:pPr>
        <w:spacing w:after="0" w:line="279" w:lineRule="exact"/>
        <w:rPr>
          <w:sz w:val="20"/>
          <w:szCs w:val="20"/>
          <w:color w:val="auto"/>
        </w:rPr>
      </w:pPr>
    </w:p>
    <w:p>
      <w:pPr>
        <w:ind w:left="7"/>
        <w:spacing w:after="0"/>
        <w:tabs>
          <w:tab w:leader="none" w:pos="866"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color w:val="auto"/>
        </w:rPr>
        <w:t>Consent of Deloitte &amp; Touche LLP</w:t>
      </w:r>
    </w:p>
    <w:p>
      <w:pPr>
        <w:spacing w:after="0" w:line="279" w:lineRule="exact"/>
        <w:rPr>
          <w:sz w:val="20"/>
          <w:szCs w:val="20"/>
          <w:color w:val="auto"/>
        </w:rPr>
      </w:pPr>
    </w:p>
    <w:p>
      <w:pPr>
        <w:ind w:left="7"/>
        <w:spacing w:after="0"/>
        <w:tabs>
          <w:tab w:leader="none" w:pos="866" w:val="left"/>
        </w:tabs>
        <w:rPr>
          <w:rFonts w:ascii="Arial" w:cs="Arial" w:eastAsia="Arial" w:hAnsi="Arial"/>
          <w:sz w:val="18"/>
          <w:szCs w:val="18"/>
          <w:color w:val="0000EE"/>
        </w:rPr>
      </w:pPr>
      <w:hyperlink w:anchor="page79">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 of Attorney (included on signature pages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909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7" w:hanging="347"/>
        <w:spacing w:after="0"/>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sz w:val="20"/>
          <w:szCs w:val="20"/>
          <w:color w:val="auto"/>
        </w:rPr>
      </w:pPr>
    </w:p>
    <w:p>
      <w:pPr>
        <w:ind w:left="347" w:hanging="347"/>
        <w:spacing w:after="0"/>
        <w:tabs>
          <w:tab w:leader="none" w:pos="347" w:val="left"/>
        </w:tabs>
        <w:numPr>
          <w:ilvl w:val="0"/>
          <w:numId w:val="56"/>
        </w:numPr>
        <w:rPr>
          <w:rFonts w:ascii="Arial" w:cs="Arial" w:eastAsia="Arial" w:hAnsi="Arial"/>
          <w:sz w:val="14"/>
          <w:szCs w:val="14"/>
          <w:color w:val="auto"/>
        </w:rPr>
      </w:pPr>
      <w:r>
        <w:rPr>
          <w:rFonts w:ascii="Arial" w:cs="Arial" w:eastAsia="Arial" w:hAnsi="Arial"/>
          <w:sz w:val="14"/>
          <w:szCs w:val="14"/>
          <w:color w:val="auto"/>
        </w:rPr>
        <w:t>Identifies exhibits that consist of a management contract or compensatory plan or arrangement.</w:t>
      </w:r>
    </w:p>
    <w:p>
      <w:pPr>
        <w:spacing w:after="0" w:line="109" w:lineRule="exact"/>
        <w:rPr>
          <w:sz w:val="20"/>
          <w:szCs w:val="20"/>
          <w:color w:val="auto"/>
        </w:rPr>
      </w:pPr>
    </w:p>
    <w:p>
      <w:pPr>
        <w:ind w:left="347" w:right="40" w:hanging="347"/>
        <w:spacing w:after="0" w:line="273" w:lineRule="auto"/>
        <w:tabs>
          <w:tab w:leader="none" w:pos="3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60"/>
        <w:spacing w:after="0" w:line="325"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Duluth, Georgia, on July 23, 2018.</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National Vision Holdings, Inc.</w:t>
      </w:r>
    </w:p>
    <w:p>
      <w:pPr>
        <w:spacing w:after="0" w:line="279"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L. Reade Fahs</w:t>
            </w:r>
          </w:p>
        </w:tc>
      </w:tr>
      <w:tr>
        <w:trPr>
          <w:trHeight w:val="237"/>
        </w:trPr>
        <w:tc>
          <w:tcPr>
            <w:tcW w:w="5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L. Reade Fahs</w:t>
            </w:r>
          </w:p>
        </w:tc>
      </w:tr>
      <w:tr>
        <w:trPr>
          <w:trHeight w:val="243"/>
        </w:trPr>
        <w:tc>
          <w:tcPr>
            <w:tcW w:w="5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Pursuant to the requirements of the Securities Act, this registration statement has been signed by the following person in the capacities indicated on July 23,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Capacity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 Reade Fahs</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88"/>
              </w:rPr>
              <w:t>L. Reade Fahs</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Patrick R. Moore</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2"/>
              </w:rPr>
              <w:t>Patrick R. Moore</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Beasley</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1"/>
              </w:rPr>
              <w:t>Senior Vice President, Accounting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0"/>
              </w:rPr>
              <w:t>Chris Beasley</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Felix Gernburd</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4"/>
              </w:rPr>
              <w:t>Felix Gernburd</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Virginia A. Hepner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4"/>
              </w:rPr>
              <w:t>Virginia A. Hepner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 Randolph Peeler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89"/>
              </w:rPr>
              <w:t>D. Randolph Peeler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Nathaniel H. Taylor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3"/>
              </w:rPr>
              <w:t>Nathaniel H. Taylor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M. Tehle</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2"/>
              </w:rPr>
              <w:t>David M. Tehle</w:t>
            </w:r>
          </w:p>
        </w:tc>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49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5160" w:right="5140" w:firstLine="132"/>
        <w:spacing w:after="0" w:line="291" w:lineRule="auto"/>
        <w:tabs>
          <w:tab w:leader="none" w:pos="54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 Shares Common Stock</w:t>
      </w:r>
    </w:p>
    <w:p>
      <w:pPr>
        <w:jc w:val="center"/>
        <w:spacing w:after="0"/>
        <w:rPr>
          <w:sz w:val="20"/>
          <w:szCs w:val="20"/>
          <w:color w:val="auto"/>
        </w:rPr>
      </w:pPr>
      <w:r>
        <w:rPr>
          <w:rFonts w:ascii="Arial" w:cs="Arial" w:eastAsia="Arial" w:hAnsi="Arial"/>
          <w:sz w:val="18"/>
          <w:szCs w:val="18"/>
          <w:color w:val="auto"/>
        </w:rPr>
        <w:t>($0.01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Each of (i) KKR Vision Aggregator L.P. (the “KKR Selling Stockholder”), (ii) Berkshire Fund VI, Limited Partnership, Berkshire Investors LLC and Berkshire Investors III LLC (collectively, the “Berkshire Selling Stockholders”) and (iii) the other selling stockholders named on Schedule I(B) hereto (collectively, the “Management Selling Stockholders” and together with the KKR Selling Stockholder and the Berkshire Selling Stockholders, the “Selling Stockholders”), as a stockholder of National Vision Holdings, Inc., a Delaware corporation (the “Company”), proposes to sell to the several underwriters named in Schedule I(A) hereto (the “Underwriters”), for whom you (the “Representatives”) are acting as representatives, the number of shares (the “Shares”) of the Company’s common stock, par value $0.01 per share (“Common Stock”), set forth next to such Selling Stockholder’s name on Schedule I(B) hereto. The aggregate [ ● ] Shares to be sold by the Selling Stockholders are herein called the “Underwritten Securities”. The Selling Stockholders also propose to grant to the Underwriters an option to purchase up to [ ● ] additional shares of Common Stock (the “Option Securities”; the Option Securities, together with the Underwritten Securities, being hereinafter called the “Securities”). Certain terms used herein are defined in Section 23 hereof.</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right="120" w:firstLine="656"/>
        <w:spacing w:after="0" w:line="277" w:lineRule="auto"/>
        <w:tabs>
          <w:tab w:leader="none" w:pos="132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224" w:lineRule="exact"/>
        <w:rPr>
          <w:sz w:val="20"/>
          <w:szCs w:val="20"/>
          <w:color w:val="auto"/>
        </w:rPr>
      </w:pPr>
    </w:p>
    <w:p>
      <w:pPr>
        <w:ind w:right="40" w:firstLine="656"/>
        <w:spacing w:after="0" w:line="271" w:lineRule="auto"/>
        <w:tabs>
          <w:tab w:leader="none" w:pos="138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a registration statement (file number 333-[ ● ]) on Form S-1, including a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0" w:name="page81"/>
    <w:bookmarkEnd w:id="80"/>
    <w:p>
      <w:pPr>
        <w:ind w:left="-20" w:firstLine="656"/>
        <w:spacing w:after="0" w:line="285" w:lineRule="auto"/>
        <w:tabs>
          <w:tab w:leader="none" w:pos="1378"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the rules thereunder,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the rules thereunder and will not contain any untrue statement of a material fact or omit to state any material fact necessary to make the statements therein, in the light of the circumstances under which they were made, not misleading.</w:t>
      </w:r>
    </w:p>
    <w:p>
      <w:pPr>
        <w:spacing w:after="0" w:line="226" w:lineRule="exact"/>
        <w:rPr>
          <w:rFonts w:ascii="Arial" w:cs="Arial" w:eastAsia="Arial" w:hAnsi="Arial"/>
          <w:sz w:val="16"/>
          <w:szCs w:val="16"/>
          <w:color w:val="auto"/>
        </w:rPr>
      </w:pPr>
    </w:p>
    <w:p>
      <w:pPr>
        <w:ind w:left="-20" w:right="100" w:firstLine="656"/>
        <w:spacing w:after="0" w:line="255" w:lineRule="auto"/>
        <w:tabs>
          <w:tab w:leader="none" w:pos="13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81" w:name="page82"/>
    <w:bookmarkEnd w:id="81"/>
    <w:p>
      <w:pPr>
        <w:ind w:left="-20" w:right="80" w:firstLine="656"/>
        <w:spacing w:after="0" w:line="286" w:lineRule="auto"/>
        <w:tabs>
          <w:tab w:leader="none" w:pos="13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9" w:lineRule="exact"/>
        <w:rPr>
          <w:rFonts w:ascii="Arial" w:cs="Arial" w:eastAsia="Arial" w:hAnsi="Arial"/>
          <w:sz w:val="17"/>
          <w:szCs w:val="17"/>
          <w:color w:val="auto"/>
        </w:rPr>
      </w:pPr>
    </w:p>
    <w:p>
      <w:pPr>
        <w:ind w:left="-20" w:right="120" w:firstLine="656"/>
        <w:spacing w:after="0" w:line="312" w:lineRule="auto"/>
        <w:tabs>
          <w:tab w:leader="none" w:pos="13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00" w:lineRule="exact"/>
        <w:rPr>
          <w:rFonts w:ascii="Arial" w:cs="Arial" w:eastAsia="Arial" w:hAnsi="Arial"/>
          <w:sz w:val="16"/>
          <w:szCs w:val="16"/>
          <w:color w:val="auto"/>
        </w:rPr>
      </w:pPr>
    </w:p>
    <w:p>
      <w:pPr>
        <w:ind w:left="-20" w:right="20" w:firstLine="656"/>
        <w:spacing w:after="0" w:line="277" w:lineRule="auto"/>
        <w:tabs>
          <w:tab w:leader="none" w:pos="1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224" w:lineRule="exact"/>
        <w:rPr>
          <w:rFonts w:ascii="Arial" w:cs="Arial" w:eastAsia="Arial" w:hAnsi="Arial"/>
          <w:sz w:val="18"/>
          <w:szCs w:val="18"/>
          <w:color w:val="auto"/>
        </w:rPr>
      </w:pPr>
    </w:p>
    <w:p>
      <w:pPr>
        <w:ind w:left="-20" w:right="620" w:firstLine="656"/>
        <w:spacing w:after="0" w:line="277" w:lineRule="auto"/>
        <w:tabs>
          <w:tab w:leader="none" w:pos="13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224" w:lineRule="exact"/>
        <w:rPr>
          <w:rFonts w:ascii="Arial" w:cs="Arial" w:eastAsia="Arial" w:hAnsi="Arial"/>
          <w:sz w:val="18"/>
          <w:szCs w:val="18"/>
          <w:color w:val="auto"/>
        </w:rPr>
      </w:pPr>
    </w:p>
    <w:p>
      <w:pPr>
        <w:ind w:left="-20" w:right="80" w:firstLine="656"/>
        <w:spacing w:after="0" w:line="286" w:lineRule="auto"/>
        <w:tabs>
          <w:tab w:leader="none" w:pos="13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9" w:lineRule="exact"/>
        <w:rPr>
          <w:rFonts w:ascii="Arial" w:cs="Arial" w:eastAsia="Arial" w:hAnsi="Arial"/>
          <w:sz w:val="17"/>
          <w:szCs w:val="17"/>
          <w:color w:val="auto"/>
        </w:rPr>
      </w:pPr>
    </w:p>
    <w:p>
      <w:pPr>
        <w:ind w:left="-20" w:right="40" w:firstLine="656"/>
        <w:spacing w:after="0" w:line="271" w:lineRule="auto"/>
        <w:tabs>
          <w:tab w:leader="none" w:pos="133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32" w:lineRule="exact"/>
        <w:rPr>
          <w:rFonts w:ascii="Arial" w:cs="Arial" w:eastAsia="Arial" w:hAnsi="Arial"/>
          <w:sz w:val="17"/>
          <w:szCs w:val="17"/>
          <w:color w:val="auto"/>
        </w:rPr>
      </w:pPr>
    </w:p>
    <w:p>
      <w:pPr>
        <w:ind w:left="-20" w:right="240" w:firstLine="656"/>
        <w:spacing w:after="0" w:line="277" w:lineRule="auto"/>
        <w:tabs>
          <w:tab w:leader="none" w:pos="13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224"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 of March 31, 2018, the Company and its subsidiaries had the issued and outstanding capitalization as set forth in Disclosure Package and the Prospectus under the heading “Capitalization”, and all the outstanding shares of capital stock or membership interests, as applicable, of the Company (including the Securities to be sold by the Selling Stockholders) and each subsidiary listed on Exhibit 21.1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82" w:name="page83"/>
    <w:bookmarkEnd w:id="82"/>
    <w:p>
      <w:pPr>
        <w:ind w:left="1300" w:hanging="70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60" w:right="40" w:firstLine="656"/>
        <w:spacing w:after="0" w:line="255" w:lineRule="auto"/>
        <w:tabs>
          <w:tab w:leader="none" w:pos="13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243" w:lineRule="exact"/>
        <w:rPr>
          <w:rFonts w:ascii="Arial" w:cs="Arial" w:eastAsia="Arial" w:hAnsi="Arial"/>
          <w:sz w:val="18"/>
          <w:szCs w:val="18"/>
          <w:color w:val="auto"/>
        </w:rPr>
      </w:pPr>
    </w:p>
    <w:p>
      <w:pPr>
        <w:ind w:left="-60" w:right="120" w:firstLine="656"/>
        <w:spacing w:after="0" w:line="290" w:lineRule="auto"/>
        <w:tabs>
          <w:tab w:leader="none" w:pos="13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None of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20" w:lineRule="exact"/>
        <w:rPr>
          <w:rFonts w:ascii="Arial" w:cs="Arial" w:eastAsia="Arial" w:hAnsi="Arial"/>
          <w:sz w:val="16"/>
          <w:szCs w:val="16"/>
          <w:color w:val="auto"/>
        </w:rPr>
      </w:pPr>
    </w:p>
    <w:p>
      <w:pPr>
        <w:ind w:left="-60" w:firstLine="656"/>
        <w:spacing w:after="0" w:line="293" w:lineRule="auto"/>
        <w:tabs>
          <w:tab w:leader="none" w:pos="13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Company’s Annual Report on Form 10-K for the fiscal year ended December 30, 2017 (the “2017 10-K”),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83" w:name="page84"/>
    <w:bookmarkEnd w:id="83"/>
    <w:p>
      <w:pPr>
        <w:ind w:left="-20" w:right="20" w:firstLine="656"/>
        <w:spacing w:after="0" w:line="259" w:lineRule="auto"/>
        <w:tabs>
          <w:tab w:leader="none" w:pos="13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(ii) each management stockholder’s agreement between the Company and each stockholder party thereto and (iii) each director stockholder’s agreement between the Company and each stockholder party thereto.</w:t>
      </w:r>
    </w:p>
    <w:p>
      <w:pPr>
        <w:spacing w:after="0" w:line="240"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2017 10-K incorporated by reference into the Disclosure Package and the Prospectus fairly presents in all material respects, on the basis stated in the 2017 10-K, the information included therein; and the summary historical financial data set forth under the heading “Prospectus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236" w:lineRule="exact"/>
        <w:rPr>
          <w:rFonts w:ascii="Arial" w:cs="Arial" w:eastAsia="Arial" w:hAnsi="Arial"/>
          <w:sz w:val="17"/>
          <w:szCs w:val="17"/>
          <w:color w:val="auto"/>
        </w:rPr>
      </w:pPr>
    </w:p>
    <w:p>
      <w:pPr>
        <w:ind w:left="-20" w:right="100" w:firstLine="656"/>
        <w:spacing w:after="0" w:line="255" w:lineRule="auto"/>
        <w:tabs>
          <w:tab w:leader="none" w:pos="13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47" w:lineRule="exact"/>
        <w:rPr>
          <w:rFonts w:ascii="Arial" w:cs="Arial" w:eastAsia="Arial" w:hAnsi="Arial"/>
          <w:sz w:val="18"/>
          <w:szCs w:val="18"/>
          <w:color w:val="auto"/>
        </w:rPr>
      </w:pPr>
    </w:p>
    <w:p>
      <w:pPr>
        <w:ind w:left="-20" w:right="60" w:firstLine="656"/>
        <w:spacing w:after="0" w:line="257" w:lineRule="auto"/>
        <w:tabs>
          <w:tab w:leader="none" w:pos="13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84" w:name="page85"/>
    <w:bookmarkEnd w:id="84"/>
    <w:p>
      <w:pPr>
        <w:ind w:right="60" w:firstLine="656"/>
        <w:spacing w:after="0" w:line="297" w:lineRule="auto"/>
        <w:tabs>
          <w:tab w:leader="none" w:pos="13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12" w:lineRule="exact"/>
        <w:rPr>
          <w:rFonts w:ascii="Arial" w:cs="Arial" w:eastAsia="Arial" w:hAnsi="Arial"/>
          <w:sz w:val="16"/>
          <w:szCs w:val="16"/>
          <w:color w:val="auto"/>
        </w:rPr>
      </w:pPr>
    </w:p>
    <w:p>
      <w:pPr>
        <w:ind w:firstLine="656"/>
        <w:spacing w:after="0" w:line="291" w:lineRule="auto"/>
        <w:tabs>
          <w:tab w:leader="none" w:pos="13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221" w:lineRule="exact"/>
        <w:rPr>
          <w:rFonts w:ascii="Arial" w:cs="Arial" w:eastAsia="Arial" w:hAnsi="Arial"/>
          <w:sz w:val="16"/>
          <w:szCs w:val="16"/>
          <w:color w:val="auto"/>
        </w:rPr>
      </w:pPr>
    </w:p>
    <w:p>
      <w:pPr>
        <w:ind w:right="220" w:firstLine="656"/>
        <w:spacing w:after="0" w:line="259" w:lineRule="auto"/>
        <w:tabs>
          <w:tab w:leader="none" w:pos="13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the Company as of December 30, 2017 and December 31, 2016 and for each of the three fiscal years in the period ended December 30, 2017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240" w:lineRule="exact"/>
        <w:rPr>
          <w:rFonts w:ascii="Arial" w:cs="Arial" w:eastAsia="Arial" w:hAnsi="Arial"/>
          <w:sz w:val="18"/>
          <w:szCs w:val="18"/>
          <w:color w:val="auto"/>
        </w:rPr>
      </w:pPr>
    </w:p>
    <w:p>
      <w:pPr>
        <w:jc w:val="both"/>
        <w:ind w:right="80" w:firstLine="656"/>
        <w:spacing w:after="0" w:line="297" w:lineRule="auto"/>
        <w:tabs>
          <w:tab w:leader="none" w:pos="1438"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2" w:lineRule="exact"/>
        <w:rPr>
          <w:rFonts w:ascii="Arial" w:cs="Arial" w:eastAsia="Arial" w:hAnsi="Arial"/>
          <w:sz w:val="16"/>
          <w:szCs w:val="16"/>
          <w:color w:val="auto"/>
        </w:rPr>
      </w:pPr>
    </w:p>
    <w:p>
      <w:pPr>
        <w:jc w:val="both"/>
        <w:ind w:right="120" w:firstLine="656"/>
        <w:spacing w:after="0" w:line="264" w:lineRule="auto"/>
        <w:tabs>
          <w:tab w:leader="none" w:pos="13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Stockholders of the Securities to the Underwriters.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5" w:name="page86"/>
    <w:bookmarkEnd w:id="85"/>
    <w:p>
      <w:pPr>
        <w:ind w:right="520" w:firstLine="656"/>
        <w:spacing w:after="0" w:line="264" w:lineRule="auto"/>
        <w:tabs>
          <w:tab w:leader="none" w:pos="13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35" w:lineRule="exact"/>
        <w:rPr>
          <w:rFonts w:ascii="Arial" w:cs="Arial" w:eastAsia="Arial" w:hAnsi="Arial"/>
          <w:sz w:val="18"/>
          <w:szCs w:val="18"/>
          <w:color w:val="auto"/>
        </w:rPr>
      </w:pPr>
    </w:p>
    <w:p>
      <w:pPr>
        <w:ind w:right="440" w:firstLine="656"/>
        <w:spacing w:after="0" w:line="277" w:lineRule="auto"/>
        <w:tabs>
          <w:tab w:leader="none" w:pos="13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224" w:lineRule="exact"/>
        <w:rPr>
          <w:sz w:val="20"/>
          <w:szCs w:val="20"/>
          <w:color w:val="auto"/>
        </w:rPr>
      </w:pPr>
    </w:p>
    <w:p>
      <w:pPr>
        <w:ind w:right="120" w:firstLine="656"/>
        <w:spacing w:after="0" w:line="272" w:lineRule="auto"/>
        <w:tabs>
          <w:tab w:leader="none" w:pos="14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231" w:lineRule="exact"/>
        <w:rPr>
          <w:rFonts w:ascii="Arial" w:cs="Arial" w:eastAsia="Arial" w:hAnsi="Arial"/>
          <w:sz w:val="17"/>
          <w:szCs w:val="17"/>
          <w:color w:val="auto"/>
        </w:rPr>
      </w:pPr>
    </w:p>
    <w:p>
      <w:pPr>
        <w:ind w:right="160" w:firstLine="656"/>
        <w:spacing w:after="0" w:line="293" w:lineRule="auto"/>
        <w:tabs>
          <w:tab w:leader="none" w:pos="14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18" w:lineRule="exact"/>
        <w:rPr>
          <w:rFonts w:ascii="Arial" w:cs="Arial" w:eastAsia="Arial" w:hAnsi="Arial"/>
          <w:sz w:val="16"/>
          <w:szCs w:val="16"/>
          <w:color w:val="auto"/>
        </w:rPr>
      </w:pPr>
    </w:p>
    <w:p>
      <w:pPr>
        <w:ind w:firstLine="656"/>
        <w:spacing w:after="0" w:line="271" w:lineRule="auto"/>
        <w:tabs>
          <w:tab w:leader="none" w:pos="14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6" w:name="page87"/>
    <w:bookmarkEnd w:id="86"/>
    <w:p>
      <w:pPr>
        <w:ind w:right="320" w:firstLine="656"/>
        <w:spacing w:after="0" w:line="277" w:lineRule="auto"/>
        <w:tabs>
          <w:tab w:leader="none" w:pos="14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224" w:lineRule="exact"/>
        <w:rPr>
          <w:rFonts w:ascii="Arial" w:cs="Arial" w:eastAsia="Arial" w:hAnsi="Arial"/>
          <w:sz w:val="18"/>
          <w:szCs w:val="18"/>
          <w:color w:val="auto"/>
        </w:rPr>
      </w:pPr>
    </w:p>
    <w:p>
      <w:pPr>
        <w:ind w:firstLine="656"/>
        <w:spacing w:after="0" w:line="289" w:lineRule="auto"/>
        <w:tabs>
          <w:tab w:leader="none" w:pos="1468"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220" w:lineRule="exact"/>
        <w:rPr>
          <w:rFonts w:ascii="Arial" w:cs="Arial" w:eastAsia="Arial" w:hAnsi="Arial"/>
          <w:sz w:val="16"/>
          <w:szCs w:val="16"/>
          <w:color w:val="auto"/>
        </w:rPr>
      </w:pPr>
    </w:p>
    <w:p>
      <w:pPr>
        <w:jc w:val="both"/>
        <w:ind w:right="20" w:firstLine="656"/>
        <w:spacing w:after="0" w:line="264" w:lineRule="auto"/>
        <w:tabs>
          <w:tab w:leader="none" w:pos="14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235" w:lineRule="exact"/>
        <w:rPr>
          <w:rFonts w:ascii="Arial" w:cs="Arial" w:eastAsia="Arial" w:hAnsi="Arial"/>
          <w:sz w:val="18"/>
          <w:szCs w:val="18"/>
          <w:color w:val="auto"/>
        </w:rPr>
      </w:pPr>
    </w:p>
    <w:p>
      <w:pPr>
        <w:ind w:firstLine="656"/>
        <w:spacing w:after="0" w:line="268" w:lineRule="auto"/>
        <w:tabs>
          <w:tab w:leader="none" w:pos="148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7" w:name="page88"/>
    <w:bookmarkEnd w:id="87"/>
    <w:p>
      <w:pPr>
        <w:ind w:left="1480" w:hanging="844"/>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120" w:firstLine="656"/>
        <w:spacing w:after="0" w:line="264" w:lineRule="auto"/>
        <w:tabs>
          <w:tab w:leader="none" w:pos="13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35" w:lineRule="exact"/>
        <w:rPr>
          <w:rFonts w:ascii="Arial" w:cs="Arial" w:eastAsia="Arial" w:hAnsi="Arial"/>
          <w:sz w:val="18"/>
          <w:szCs w:val="18"/>
          <w:color w:val="auto"/>
        </w:rPr>
      </w:pPr>
    </w:p>
    <w:p>
      <w:pPr>
        <w:ind w:left="-20" w:right="160" w:firstLine="656"/>
        <w:spacing w:after="0" w:line="264" w:lineRule="auto"/>
        <w:tabs>
          <w:tab w:leader="none" w:pos="13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35" w:lineRule="exact"/>
        <w:rPr>
          <w:rFonts w:ascii="Arial" w:cs="Arial" w:eastAsia="Arial" w:hAnsi="Arial"/>
          <w:sz w:val="18"/>
          <w:szCs w:val="18"/>
          <w:color w:val="auto"/>
        </w:rPr>
      </w:pPr>
    </w:p>
    <w:p>
      <w:pPr>
        <w:ind w:left="-20" w:right="40" w:firstLine="656"/>
        <w:spacing w:after="0" w:line="255" w:lineRule="auto"/>
        <w:tabs>
          <w:tab w:leader="none" w:pos="14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247" w:lineRule="exact"/>
        <w:rPr>
          <w:rFonts w:ascii="Arial" w:cs="Arial" w:eastAsia="Arial" w:hAnsi="Arial"/>
          <w:sz w:val="18"/>
          <w:szCs w:val="18"/>
          <w:color w:val="auto"/>
        </w:rPr>
      </w:pPr>
    </w:p>
    <w:p>
      <w:pPr>
        <w:ind w:left="-20" w:right="240" w:firstLine="656"/>
        <w:spacing w:after="0" w:line="302" w:lineRule="auto"/>
        <w:tabs>
          <w:tab w:leader="none" w:pos="1388"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208" w:lineRule="exact"/>
        <w:rPr>
          <w:rFonts w:ascii="Arial" w:cs="Arial" w:eastAsia="Arial" w:hAnsi="Arial"/>
          <w:sz w:val="16"/>
          <w:szCs w:val="16"/>
          <w:color w:val="auto"/>
        </w:rPr>
      </w:pPr>
    </w:p>
    <w:p>
      <w:pPr>
        <w:ind w:left="-20" w:firstLine="656"/>
        <w:spacing w:after="0" w:line="289" w:lineRule="auto"/>
        <w:tabs>
          <w:tab w:leader="none" w:pos="1568"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88" w:name="page89"/>
    <w:bookmarkEnd w:id="88"/>
    <w:p>
      <w:pPr>
        <w:ind w:left="-40" w:firstLine="656"/>
        <w:spacing w:after="0" w:line="283" w:lineRule="auto"/>
        <w:tabs>
          <w:tab w:leader="none" w:pos="1448"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as described in the Disclosure Package and the Prospectus,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 (i) 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89" w:name="page90"/>
    <w:bookmarkEnd w:id="89"/>
    <w:p>
      <w:pPr>
        <w:ind w:firstLine="656"/>
        <w:spacing w:after="0" w:line="286" w:lineRule="auto"/>
        <w:tabs>
          <w:tab w:leader="none" w:pos="14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228" w:lineRule="exact"/>
        <w:rPr>
          <w:rFonts w:ascii="Arial" w:cs="Arial" w:eastAsia="Arial" w:hAnsi="Arial"/>
          <w:sz w:val="16"/>
          <w:szCs w:val="16"/>
          <w:color w:val="auto"/>
        </w:rPr>
      </w:pPr>
    </w:p>
    <w:p>
      <w:pPr>
        <w:ind w:right="680" w:firstLine="656"/>
        <w:spacing w:after="0" w:line="277" w:lineRule="auto"/>
        <w:tabs>
          <w:tab w:leader="none" w:pos="14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97"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90" w:name="page91"/>
    <w:bookmarkEnd w:id="90"/>
    <w:p>
      <w:pPr>
        <w:ind w:left="-20" w:right="720" w:firstLine="656"/>
        <w:spacing w:after="0" w:line="277" w:lineRule="auto"/>
        <w:tabs>
          <w:tab w:leader="none" w:pos="141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Each Selling Stockholder represents, warrants and covenants to the Company and the Underwriters, severally and not jointly, as follows:</w:t>
      </w:r>
    </w:p>
    <w:p>
      <w:pPr>
        <w:spacing w:after="0" w:line="224" w:lineRule="exact"/>
        <w:rPr>
          <w:sz w:val="20"/>
          <w:szCs w:val="20"/>
          <w:color w:val="auto"/>
        </w:rPr>
      </w:pPr>
    </w:p>
    <w:p>
      <w:pPr>
        <w:ind w:left="1380" w:hanging="744"/>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left="-20" w:firstLine="656"/>
        <w:spacing w:after="0" w:line="270" w:lineRule="auto"/>
        <w:tabs>
          <w:tab w:leader="none" w:pos="1378"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such Selling Stockholder is a Management Selling Stockholder, (i) book-entry entitlements representing all of the Securities to be sold by such Management Selling Stockholder hereunder have been placed in custody under a Custody Agreement, in the form heretofore furnished to you (the “Custody Agreement”), duly executed and delivered by such Management Selling Stockholder to Computershare Trust Company, N.A., as custodian (the “Custodian”) and (ii) such Management Selling Stockholder shall have duly executed and delivered a Power of Attorney, in the form heretofore furnished to you (the “Power of Attorney”), appointing Mitchell Goodman and Jared Brandman, and each of them, as such Management’s Selling Stockholder’s attorneys-in-fact (the “Attorneys-in-Fact”) with authority to execute and deliver this Agreement on behalf of such Management Selling Stockholder, to determine the purchase price to be paid by the Underwriters to the Selling Stockholders as provided in Section 3 hereof, to execute and deliver a Stock Power relating to the Underwritten Securities to be sold by such Management Selling Stockholder (the “Stock Power”), to authorize the delivery of the Securities to be sold by such Management Selling Stockholder hereunder and to otherwise to act on behalf of such Management Selling Stockholder in connection with the transactions contemplated by this Agreement and the Custody Agreement.</w:t>
      </w:r>
    </w:p>
    <w:p>
      <w:pPr>
        <w:spacing w:after="0" w:line="231" w:lineRule="exact"/>
        <w:rPr>
          <w:rFonts w:ascii="Arial" w:cs="Arial" w:eastAsia="Arial" w:hAnsi="Arial"/>
          <w:sz w:val="17"/>
          <w:szCs w:val="17"/>
          <w:color w:val="auto"/>
        </w:rPr>
      </w:pPr>
    </w:p>
    <w:p>
      <w:pPr>
        <w:ind w:left="-20" w:right="20" w:firstLine="656"/>
        <w:spacing w:after="0" w:line="269" w:lineRule="auto"/>
        <w:tabs>
          <w:tab w:leader="none" w:pos="1368"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91" w:name="page92"/>
    <w:bookmarkEnd w:id="91"/>
    <w:p>
      <w:pPr>
        <w:ind w:right="20" w:firstLine="656"/>
        <w:spacing w:after="0" w:line="268" w:lineRule="auto"/>
        <w:tabs>
          <w:tab w:leader="none" w:pos="139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execution and delivery by such Selling Stockholder, or such Selling Stockholder’s Attorneys-in-Fact, as applicable, of, and the performance by such Selling Stockholder of its obligations under, this Agreement, and, if such Selling Stockholder is a Management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in the case of each Berkshire Selling Stockholder, the limited partnership agreement or limited liability company agreement, as the case may be, of such Selling Stockholder,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the Custody Agreement and the Stock Power, except such as may be required under the Securities Act, applicable state securities or blue sky laws and from the FINRA and such other approvals as have been or will be made or obtained on or prior to the Closing Date.</w:t>
      </w:r>
    </w:p>
    <w:p>
      <w:pPr>
        <w:spacing w:after="0" w:line="239" w:lineRule="exact"/>
        <w:rPr>
          <w:rFonts w:ascii="Arial" w:cs="Arial" w:eastAsia="Arial" w:hAnsi="Arial"/>
          <w:sz w:val="17"/>
          <w:szCs w:val="17"/>
          <w:color w:val="auto"/>
        </w:rPr>
      </w:pPr>
    </w:p>
    <w:p>
      <w:pPr>
        <w:ind w:right="100" w:firstLine="656"/>
        <w:spacing w:after="0" w:line="255" w:lineRule="auto"/>
        <w:tabs>
          <w:tab w:leader="none" w:pos="13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such Selling Stockholder under the caption “Selling Stockholders” in the Registration Statement, the Disclosure Package and the Prospectus (such information, the “Selling Stockholders Information”).</w:t>
      </w:r>
    </w:p>
    <w:p>
      <w:pPr>
        <w:spacing w:after="0" w:line="247" w:lineRule="exact"/>
        <w:rPr>
          <w:rFonts w:ascii="Arial" w:cs="Arial" w:eastAsia="Arial" w:hAnsi="Arial"/>
          <w:sz w:val="18"/>
          <w:szCs w:val="18"/>
          <w:color w:val="auto"/>
        </w:rPr>
      </w:pPr>
    </w:p>
    <w:p>
      <w:pPr>
        <w:ind w:right="180" w:firstLine="656"/>
        <w:spacing w:after="0" w:line="264" w:lineRule="auto"/>
        <w:tabs>
          <w:tab w:leader="none" w:pos="13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the completion of the Underwriters’ distribution of the Underwritten Securities, such Selling Stockholder has not distributed and will not distribute any offering material in connection with the offering and sale of the Underwritten Securities other than the Registration Statement, the Preliminary Prospectus, the Disclosure Package and the Prospectus.</w:t>
      </w:r>
    </w:p>
    <w:p>
      <w:pPr>
        <w:spacing w:after="0" w:line="235" w:lineRule="exact"/>
        <w:rPr>
          <w:rFonts w:ascii="Arial" w:cs="Arial" w:eastAsia="Arial" w:hAnsi="Arial"/>
          <w:sz w:val="18"/>
          <w:szCs w:val="18"/>
          <w:color w:val="auto"/>
        </w:rPr>
      </w:pPr>
    </w:p>
    <w:p>
      <w:pPr>
        <w:ind w:right="40" w:firstLine="656"/>
        <w:spacing w:after="0" w:line="264" w:lineRule="auto"/>
        <w:tabs>
          <w:tab w:leader="none" w:pos="13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92" w:name="page93"/>
    <w:bookmarkEnd w:id="92"/>
    <w:p>
      <w:pPr>
        <w:ind w:right="60" w:firstLine="1297"/>
        <w:spacing w:after="0" w:line="259" w:lineRule="auto"/>
        <w:rPr>
          <w:sz w:val="20"/>
          <w:szCs w:val="20"/>
          <w:color w:val="auto"/>
        </w:rPr>
      </w:pPr>
      <w:r>
        <w:rPr>
          <w:rFonts w:ascii="Arial" w:cs="Arial" w:eastAsia="Arial" w:hAnsi="Arial"/>
          <w:sz w:val="18"/>
          <w:szCs w:val="18"/>
          <w:color w:val="auto"/>
        </w:rPr>
        <w:t>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18" w:lineRule="exact"/>
        <w:rPr>
          <w:sz w:val="20"/>
          <w:szCs w:val="20"/>
          <w:color w:val="auto"/>
        </w:rPr>
      </w:pPr>
    </w:p>
    <w:p>
      <w:pPr>
        <w:ind w:left="1520" w:hanging="810"/>
        <w:spacing w:after="0"/>
        <w:tabs>
          <w:tab w:leader="none" w:pos="1520" w:val="left"/>
        </w:tabs>
        <w:numPr>
          <w:ilvl w:val="1"/>
          <w:numId w:val="75"/>
        </w:numPr>
        <w:rPr>
          <w:rFonts w:ascii="Arial" w:cs="Arial" w:eastAsia="Arial" w:hAnsi="Arial"/>
          <w:sz w:val="22"/>
          <w:szCs w:val="22"/>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8" w:lineRule="exact"/>
        <w:rPr>
          <w:rFonts w:ascii="Arial" w:cs="Arial" w:eastAsia="Arial" w:hAnsi="Arial"/>
          <w:sz w:val="22"/>
          <w:szCs w:val="22"/>
          <w:color w:val="auto"/>
        </w:rPr>
      </w:pPr>
    </w:p>
    <w:p>
      <w:pPr>
        <w:ind w:right="220" w:firstLine="656"/>
        <w:spacing w:after="0" w:line="255"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 ● ]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w:t>
      </w:r>
    </w:p>
    <w:p>
      <w:pPr>
        <w:spacing w:after="0" w:line="243" w:lineRule="exact"/>
        <w:rPr>
          <w:rFonts w:ascii="Arial" w:cs="Arial" w:eastAsia="Arial" w:hAnsi="Arial"/>
          <w:sz w:val="18"/>
          <w:szCs w:val="18"/>
          <w:color w:val="auto"/>
        </w:rPr>
      </w:pPr>
    </w:p>
    <w:p>
      <w:pPr>
        <w:ind w:firstLine="656"/>
        <w:spacing w:after="0" w:line="270" w:lineRule="auto"/>
        <w:tabs>
          <w:tab w:leader="none" w:pos="13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Selling Stockholders hereby grant an option to the several Underwriters to purchase, severally and not jointly, up to [ ● ]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236" w:lineRule="exact"/>
        <w:rPr>
          <w:sz w:val="20"/>
          <w:szCs w:val="20"/>
          <w:color w:val="auto"/>
        </w:rPr>
      </w:pPr>
    </w:p>
    <w:p>
      <w:pPr>
        <w:ind w:firstLine="656"/>
        <w:spacing w:after="0" w:line="270" w:lineRule="auto"/>
        <w:tabs>
          <w:tab w:leader="none" w:pos="132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 ● ], 2018,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3" w:name="page94"/>
    <w:bookmarkEnd w:id="93"/>
    <w:p>
      <w:pPr>
        <w:ind w:right="100" w:firstLine="1297"/>
        <w:spacing w:after="0" w:line="270"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Selling Stockholders)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If settlement for the Option Securities occurs after the Closing Date, the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236" w:lineRule="exact"/>
        <w:rPr>
          <w:sz w:val="20"/>
          <w:szCs w:val="20"/>
          <w:color w:val="auto"/>
        </w:rPr>
      </w:pPr>
    </w:p>
    <w:p>
      <w:pPr>
        <w:ind w:left="1340" w:hanging="684"/>
        <w:spacing w:after="0"/>
        <w:tabs>
          <w:tab w:leader="none" w:pos="13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64" w:lineRule="exact"/>
        <w:rPr>
          <w:rFonts w:ascii="Arial" w:cs="Arial" w:eastAsia="Arial" w:hAnsi="Arial"/>
          <w:sz w:val="16"/>
          <w:szCs w:val="16"/>
          <w:color w:val="auto"/>
        </w:rPr>
      </w:pPr>
    </w:p>
    <w:p>
      <w:pPr>
        <w:ind w:left="1340" w:hanging="684"/>
        <w:spacing w:after="0"/>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firstLine="656"/>
        <w:spacing w:after="0" w:line="285" w:lineRule="auto"/>
        <w:tabs>
          <w:tab w:leader="none" w:pos="1388"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4" w:name="page95"/>
    <w:bookmarkEnd w:id="94"/>
    <w:p>
      <w:pPr>
        <w:ind w:left="-8" w:firstLine="656"/>
        <w:spacing w:after="0" w:line="293" w:lineRule="auto"/>
        <w:tabs>
          <w:tab w:leader="none" w:pos="13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218" w:lineRule="exact"/>
        <w:rPr>
          <w:rFonts w:ascii="Arial" w:cs="Arial" w:eastAsia="Arial" w:hAnsi="Arial"/>
          <w:sz w:val="16"/>
          <w:szCs w:val="16"/>
          <w:color w:val="auto"/>
        </w:rPr>
      </w:pPr>
    </w:p>
    <w:p>
      <w:pPr>
        <w:jc w:val="both"/>
        <w:ind w:left="-8" w:right="100" w:firstLine="656"/>
        <w:spacing w:after="0" w:line="291" w:lineRule="auto"/>
        <w:tabs>
          <w:tab w:leader="none" w:pos="13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w:t>
      </w:r>
    </w:p>
    <w:p>
      <w:pPr>
        <w:ind w:left="-8" w:firstLine="8"/>
        <w:spacing w:after="0" w:line="269" w:lineRule="auto"/>
        <w:tabs>
          <w:tab w:leader="none" w:pos="36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234" w:lineRule="exact"/>
        <w:rPr>
          <w:rFonts w:ascii="Arial" w:cs="Arial" w:eastAsia="Arial" w:hAnsi="Arial"/>
          <w:sz w:val="17"/>
          <w:szCs w:val="17"/>
          <w:color w:val="auto"/>
        </w:rPr>
      </w:pPr>
    </w:p>
    <w:p>
      <w:pPr>
        <w:ind w:left="-8" w:right="340" w:firstLine="656"/>
        <w:spacing w:after="0" w:line="264" w:lineRule="auto"/>
        <w:tabs>
          <w:tab w:leader="none" w:pos="13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235" w:lineRule="exact"/>
        <w:rPr>
          <w:rFonts w:ascii="Arial" w:cs="Arial" w:eastAsia="Arial" w:hAnsi="Arial"/>
          <w:sz w:val="18"/>
          <w:szCs w:val="18"/>
          <w:color w:val="auto"/>
        </w:rPr>
      </w:pPr>
    </w:p>
    <w:p>
      <w:pPr>
        <w:ind w:left="-8" w:right="220" w:firstLine="656"/>
        <w:spacing w:after="0" w:line="277"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224" w:lineRule="exact"/>
        <w:rPr>
          <w:rFonts w:ascii="Arial" w:cs="Arial" w:eastAsia="Arial" w:hAnsi="Arial"/>
          <w:sz w:val="18"/>
          <w:szCs w:val="18"/>
          <w:color w:val="auto"/>
        </w:rPr>
      </w:pPr>
    </w:p>
    <w:p>
      <w:pPr>
        <w:ind w:left="-8" w:firstLine="656"/>
        <w:spacing w:after="0" w:line="288" w:lineRule="auto"/>
        <w:tabs>
          <w:tab w:leader="none" w:pos="13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w:t>
      </w:r>
    </w:p>
    <w:p>
      <w:pPr>
        <w:ind w:left="-8" w:right="100" w:firstLine="8"/>
        <w:spacing w:after="0" w:line="255" w:lineRule="auto"/>
        <w:tabs>
          <w:tab w:leader="none" w:pos="3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1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95" w:name="page96"/>
    <w:bookmarkEnd w:id="95"/>
    <w:p>
      <w:pPr>
        <w:ind w:left="-60" w:right="40" w:firstLine="656"/>
        <w:spacing w:after="0" w:line="255" w:lineRule="auto"/>
        <w:tabs>
          <w:tab w:leader="none" w:pos="13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47" w:lineRule="exact"/>
        <w:rPr>
          <w:rFonts w:ascii="Arial" w:cs="Arial" w:eastAsia="Arial" w:hAnsi="Arial"/>
          <w:sz w:val="18"/>
          <w:szCs w:val="18"/>
          <w:color w:val="auto"/>
        </w:rPr>
      </w:pPr>
    </w:p>
    <w:p>
      <w:pPr>
        <w:ind w:left="-60" w:firstLine="656"/>
        <w:spacing w:after="0" w:line="284" w:lineRule="auto"/>
        <w:tabs>
          <w:tab w:leader="none" w:pos="133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any two of Merrill Lynch, Pierce, Fenner &amp; Smith Incorporated, Citigroup Global Markets Inc. and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60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96" w:name="page97"/>
    <w:bookmarkEnd w:id="96"/>
    <w:p>
      <w:pPr>
        <w:ind w:left="1320" w:hanging="70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40" w:right="160" w:firstLine="656"/>
        <w:spacing w:after="0" w:line="264"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235" w:lineRule="exact"/>
        <w:rPr>
          <w:rFonts w:ascii="Arial" w:cs="Arial" w:eastAsia="Arial" w:hAnsi="Arial"/>
          <w:sz w:val="18"/>
          <w:szCs w:val="18"/>
          <w:color w:val="auto"/>
        </w:rPr>
      </w:pPr>
    </w:p>
    <w:p>
      <w:pPr>
        <w:ind w:left="-40" w:firstLine="656"/>
        <w:spacing w:after="0" w:line="284" w:lineRule="auto"/>
        <w:tabs>
          <w:tab w:leader="none" w:pos="13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Stockholders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and any other fees, expenses and taxes incident to the sale and delivery of the Underwritten Securities to be sold by such Selling Stockholder to the Underwriters hereunder. This Section 6(k) shall not affect or modify any separate, valid agreement relating to the allocation of payment of expenses between the Company, on the one hand, and any Selling Stockholder, on the other hand.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97" w:name="page98"/>
    <w:bookmarkEnd w:id="97"/>
    <w:p>
      <w:pPr>
        <w:ind w:left="1260" w:hanging="704"/>
        <w:spacing w:after="0"/>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100" w:firstLine="656"/>
        <w:spacing w:after="0" w:line="286" w:lineRule="auto"/>
        <w:tabs>
          <w:tab w:leader="none" w:pos="134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229" w:lineRule="exact"/>
        <w:rPr>
          <w:sz w:val="20"/>
          <w:szCs w:val="20"/>
          <w:color w:val="auto"/>
        </w:rPr>
      </w:pPr>
    </w:p>
    <w:p>
      <w:pPr>
        <w:ind w:left="1240" w:hanging="684"/>
        <w:spacing w:after="0"/>
        <w:tabs>
          <w:tab w:leader="none" w:pos="12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Agreements of the Selling Stockholders</w:t>
      </w:r>
      <w:r>
        <w:rPr>
          <w:rFonts w:ascii="Arial" w:cs="Arial" w:eastAsia="Arial" w:hAnsi="Arial"/>
          <w:sz w:val="17"/>
          <w:szCs w:val="17"/>
          <w:color w:val="auto"/>
        </w:rPr>
        <w:t>. Each Selling Stockholder agrees with the Company and the several Underwriters as follows:</w:t>
      </w:r>
    </w:p>
    <w:p>
      <w:pPr>
        <w:spacing w:after="0" w:line="290" w:lineRule="exact"/>
        <w:rPr>
          <w:rFonts w:ascii="Arial" w:cs="Arial" w:eastAsia="Arial" w:hAnsi="Arial"/>
          <w:sz w:val="17"/>
          <w:szCs w:val="17"/>
          <w:color w:val="auto"/>
        </w:rPr>
      </w:pPr>
    </w:p>
    <w:p>
      <w:pPr>
        <w:ind w:left="560" w:right="20" w:firstLine="645"/>
        <w:spacing w:after="0" w:line="257" w:lineRule="auto"/>
        <w:tabs>
          <w:tab w:leader="none" w:pos="19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42" w:lineRule="exact"/>
        <w:rPr>
          <w:rFonts w:ascii="Arial" w:cs="Arial" w:eastAsia="Arial" w:hAnsi="Arial"/>
          <w:sz w:val="18"/>
          <w:szCs w:val="18"/>
          <w:color w:val="auto"/>
        </w:rPr>
      </w:pPr>
    </w:p>
    <w:p>
      <w:pPr>
        <w:ind w:left="560" w:right="120" w:firstLine="645"/>
        <w:spacing w:after="0" w:line="264" w:lineRule="auto"/>
        <w:tabs>
          <w:tab w:leader="none" w:pos="19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deliver to the Underwriters prior to the Closing Date a properly completed and executed United States Treasury Department Form W-9, together with all required attachments, if any, of such Selling Stockholder or, in the case of a Management Selling Stockholder, of the Custodian.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395" w:right="319" w:bottom="1440" w:gutter="0" w:footer="0" w:header="0"/>
        </w:sectPr>
      </w:pPr>
    </w:p>
    <w:bookmarkStart w:id="98" w:name="page99"/>
    <w:bookmarkEnd w:id="98"/>
    <w:p>
      <w:pPr>
        <w:ind w:firstLine="648"/>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224" w:lineRule="exact"/>
        <w:rPr>
          <w:sz w:val="20"/>
          <w:szCs w:val="20"/>
          <w:color w:val="auto"/>
        </w:rPr>
      </w:pPr>
    </w:p>
    <w:p>
      <w:pPr>
        <w:jc w:val="both"/>
        <w:ind w:right="100" w:firstLine="656"/>
        <w:spacing w:after="0" w:line="293" w:lineRule="auto"/>
        <w:tabs>
          <w:tab w:leader="none" w:pos="132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219" w:lineRule="exact"/>
        <w:rPr>
          <w:sz w:val="20"/>
          <w:szCs w:val="20"/>
          <w:color w:val="auto"/>
        </w:rPr>
      </w:pPr>
    </w:p>
    <w:p>
      <w:pPr>
        <w:ind w:right="40" w:firstLine="656"/>
        <w:spacing w:after="0" w:line="279" w:lineRule="auto"/>
        <w:tabs>
          <w:tab w:leader="none" w:pos="138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25" w:lineRule="exact"/>
        <w:rPr>
          <w:rFonts w:ascii="Arial" w:cs="Arial" w:eastAsia="Arial" w:hAnsi="Arial"/>
          <w:sz w:val="17"/>
          <w:szCs w:val="17"/>
          <w:color w:val="auto"/>
        </w:rPr>
      </w:pPr>
    </w:p>
    <w:p>
      <w:pPr>
        <w:ind w:right="260" w:firstLine="656"/>
        <w:spacing w:after="0" w:line="286" w:lineRule="auto"/>
        <w:tabs>
          <w:tab w:leader="none" w:pos="1398"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The Company and the KKR Selling Stockholder shall have requested and caused Simpson Thacher &amp; Bartlett LLP, counsel for the Company and the KKR Selling Stockholder, to furnish to the Representatives an opinion letter and a negative assurance letter, each dated the Closing Date and in form and substance reasonably satisfactory to the Representatives, as set forth in Exhibit B hereto.</w:t>
      </w:r>
    </w:p>
    <w:p>
      <w:pPr>
        <w:spacing w:after="0" w:line="192" w:lineRule="exact"/>
        <w:rPr>
          <w:rFonts w:ascii="Arial" w:cs="Arial" w:eastAsia="Arial" w:hAnsi="Arial"/>
          <w:sz w:val="17"/>
          <w:szCs w:val="17"/>
          <w:color w:val="auto"/>
        </w:rPr>
      </w:pPr>
    </w:p>
    <w:p>
      <w:pPr>
        <w:ind w:left="580" w:right="200" w:firstLine="725"/>
        <w:spacing w:after="0" w:line="342" w:lineRule="auto"/>
        <w:tabs>
          <w:tab w:leader="none" w:pos="1619"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150" w:lineRule="exact"/>
        <w:rPr>
          <w:rFonts w:ascii="Arial" w:cs="Arial" w:eastAsia="Arial" w:hAnsi="Arial"/>
          <w:sz w:val="16"/>
          <w:szCs w:val="16"/>
          <w:color w:val="auto"/>
        </w:rPr>
      </w:pPr>
    </w:p>
    <w:p>
      <w:pPr>
        <w:ind w:left="580" w:right="480" w:firstLine="725"/>
        <w:spacing w:after="0" w:line="264" w:lineRule="auto"/>
        <w:tabs>
          <w:tab w:leader="none" w:pos="162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Berkshire Selling Stockholders shall have requested and caused Ropes &amp; Gray LLP, counsel for the Berkshire Selling Stockholders, to furnish to the Representatives an opinion letter dated the Closing Date and in form and substance reasonably satisfactory to the Representatives, as set forth in Exhibit D hereto.</w:t>
      </w:r>
    </w:p>
    <w:p>
      <w:pPr>
        <w:spacing w:after="0" w:line="235" w:lineRule="exact"/>
        <w:rPr>
          <w:rFonts w:ascii="Arial" w:cs="Arial" w:eastAsia="Arial" w:hAnsi="Arial"/>
          <w:sz w:val="18"/>
          <w:szCs w:val="18"/>
          <w:color w:val="auto"/>
        </w:rPr>
      </w:pPr>
    </w:p>
    <w:p>
      <w:pPr>
        <w:jc w:val="both"/>
        <w:ind w:right="40" w:firstLine="656"/>
        <w:spacing w:after="0" w:line="259" w:lineRule="auto"/>
        <w:tabs>
          <w:tab w:leader="none" w:pos="13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9" w:name="page100"/>
    <w:bookmarkEnd w:id="99"/>
    <w:p>
      <w:pPr>
        <w:ind w:left="-20" w:right="100" w:firstLine="656"/>
        <w:spacing w:after="0" w:line="302" w:lineRule="auto"/>
        <w:tabs>
          <w:tab w:leader="none" w:pos="13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08" w:lineRule="exact"/>
        <w:rPr>
          <w:rFonts w:ascii="Arial" w:cs="Arial" w:eastAsia="Arial" w:hAnsi="Arial"/>
          <w:sz w:val="16"/>
          <w:szCs w:val="16"/>
          <w:color w:val="auto"/>
        </w:rPr>
      </w:pPr>
    </w:p>
    <w:p>
      <w:pPr>
        <w:ind w:left="640" w:firstLine="645"/>
        <w:spacing w:after="0" w:line="279" w:lineRule="auto"/>
        <w:tabs>
          <w:tab w:leader="none" w:pos="2038"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225" w:lineRule="exact"/>
        <w:rPr>
          <w:rFonts w:ascii="Arial" w:cs="Arial" w:eastAsia="Arial" w:hAnsi="Arial"/>
          <w:sz w:val="17"/>
          <w:szCs w:val="17"/>
          <w:color w:val="auto"/>
        </w:rPr>
      </w:pPr>
    </w:p>
    <w:p>
      <w:pPr>
        <w:jc w:val="both"/>
        <w:ind w:left="640" w:right="20" w:firstLine="645"/>
        <w:spacing w:after="0" w:line="259" w:lineRule="auto"/>
        <w:tabs>
          <w:tab w:leader="none" w:pos="2038" w:val="left"/>
        </w:tabs>
        <w:numPr>
          <w:ilvl w:val="1"/>
          <w:numId w:val="89"/>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40" w:lineRule="exact"/>
        <w:rPr>
          <w:rFonts w:ascii="Arial" w:cs="Arial" w:eastAsia="Arial" w:hAnsi="Arial"/>
          <w:sz w:val="18"/>
          <w:szCs w:val="18"/>
          <w:color w:val="auto"/>
        </w:rPr>
      </w:pPr>
    </w:p>
    <w:p>
      <w:pPr>
        <w:ind w:left="640" w:right="80" w:firstLine="645"/>
        <w:spacing w:after="0" w:line="277" w:lineRule="auto"/>
        <w:tabs>
          <w:tab w:leader="none" w:pos="2038"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224" w:lineRule="exact"/>
        <w:rPr>
          <w:rFonts w:ascii="Arial" w:cs="Arial" w:eastAsia="Arial" w:hAnsi="Arial"/>
          <w:sz w:val="18"/>
          <w:szCs w:val="18"/>
          <w:color w:val="auto"/>
        </w:rPr>
      </w:pPr>
    </w:p>
    <w:p>
      <w:pPr>
        <w:ind w:left="-20" w:right="160" w:firstLine="656"/>
        <w:spacing w:after="0" w:line="277" w:lineRule="auto"/>
        <w:tabs>
          <w:tab w:leader="none" w:pos="13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chief financial officer of the Company shall have furnished to the Representatives a certificate, dated the date hereof and the Closing Date, respectively, in form and substance reasonably satisfactory to the Representatives, as set forth in Exhibit E hereto.</w:t>
      </w:r>
    </w:p>
    <w:p>
      <w:pPr>
        <w:spacing w:after="0" w:line="224" w:lineRule="exact"/>
        <w:rPr>
          <w:rFonts w:ascii="Arial" w:cs="Arial" w:eastAsia="Arial" w:hAnsi="Arial"/>
          <w:sz w:val="18"/>
          <w:szCs w:val="18"/>
          <w:color w:val="auto"/>
        </w:rPr>
      </w:pPr>
    </w:p>
    <w:p>
      <w:pPr>
        <w:ind w:left="-20" w:right="280" w:firstLine="656"/>
        <w:spacing w:after="0" w:line="273" w:lineRule="auto"/>
        <w:tabs>
          <w:tab w:leader="none" w:pos="1348" w:val="left"/>
        </w:tabs>
        <w:numPr>
          <w:ilvl w:val="0"/>
          <w:numId w:val="89"/>
        </w:numPr>
        <w:rPr>
          <w:rFonts w:ascii="Arial" w:cs="Arial" w:eastAsia="Arial" w:hAnsi="Arial"/>
          <w:sz w:val="17"/>
          <w:szCs w:val="17"/>
          <w:color w:val="auto"/>
        </w:rPr>
      </w:pPr>
      <w:r>
        <w:rPr>
          <w:rFonts w:ascii="Arial" w:cs="Arial" w:eastAsia="Arial" w:hAnsi="Arial"/>
          <w:sz w:val="17"/>
          <w:szCs w:val="17"/>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232" w:lineRule="exact"/>
        <w:rPr>
          <w:rFonts w:ascii="Arial" w:cs="Arial" w:eastAsia="Arial" w:hAnsi="Arial"/>
          <w:sz w:val="17"/>
          <w:szCs w:val="17"/>
          <w:color w:val="auto"/>
        </w:rPr>
      </w:pPr>
    </w:p>
    <w:p>
      <w:pPr>
        <w:ind w:left="-20" w:right="140" w:firstLine="656"/>
        <w:spacing w:after="0" w:line="279" w:lineRule="auto"/>
        <w:tabs>
          <w:tab w:leader="none" w:pos="1378"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the Closing Date, the Underwriters shall receive a written certificate executed by (i) in the case of the KKR Selling Stockholder, the general partner of the KKR Selling Stockholder, (ii) in the case of the Berkshire Selling Stockholders, the general partner of Berkshire Fund VI, Limited Partnership and an officer of each of Berkshire Investors LLC and Berkshire Investors III LLC and (iii) in the case of the Management Selling Stockholders, an Attorney-in-Fact of each Management Selling Stockholder, dated as of such date, to the effect that:</w:t>
      </w:r>
    </w:p>
    <w:p>
      <w:pPr>
        <w:spacing w:after="0" w:line="225" w:lineRule="exact"/>
        <w:rPr>
          <w:rFonts w:ascii="Arial" w:cs="Arial" w:eastAsia="Arial" w:hAnsi="Arial"/>
          <w:sz w:val="17"/>
          <w:szCs w:val="17"/>
          <w:color w:val="auto"/>
        </w:rPr>
      </w:pPr>
    </w:p>
    <w:p>
      <w:pPr>
        <w:ind w:left="640" w:right="40" w:firstLine="645"/>
        <w:spacing w:after="0" w:line="286" w:lineRule="auto"/>
        <w:tabs>
          <w:tab w:leader="none" w:pos="2038"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00" w:name="page101"/>
    <w:bookmarkEnd w:id="100"/>
    <w:p>
      <w:pPr>
        <w:ind w:left="640" w:right="20" w:firstLine="645"/>
        <w:spacing w:after="0" w:line="277" w:lineRule="auto"/>
        <w:tabs>
          <w:tab w:leader="none" w:pos="203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224" w:lineRule="exact"/>
        <w:rPr>
          <w:rFonts w:ascii="Arial" w:cs="Arial" w:eastAsia="Arial" w:hAnsi="Arial"/>
          <w:sz w:val="18"/>
          <w:szCs w:val="18"/>
          <w:color w:val="auto"/>
        </w:rPr>
      </w:pPr>
    </w:p>
    <w:p>
      <w:pPr>
        <w:jc w:val="both"/>
        <w:ind w:left="-20" w:right="260" w:firstLine="656"/>
        <w:spacing w:after="0" w:line="264" w:lineRule="auto"/>
        <w:tabs>
          <w:tab w:leader="none" w:pos="13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or before the Closing Date, the Management Selling Stockholders shall have furnished for review by the Underwriters copies of the Power of Attorney, Stock Power and Custody Agreement, as applicable, and such further information, certificates and documents as the Underwriters may reasonably request.</w:t>
      </w:r>
    </w:p>
    <w:p>
      <w:pPr>
        <w:spacing w:after="0" w:line="235" w:lineRule="exact"/>
        <w:rPr>
          <w:rFonts w:ascii="Arial" w:cs="Arial" w:eastAsia="Arial" w:hAnsi="Arial"/>
          <w:sz w:val="18"/>
          <w:szCs w:val="18"/>
          <w:color w:val="auto"/>
        </w:rPr>
      </w:pPr>
    </w:p>
    <w:p>
      <w:pPr>
        <w:ind w:left="-20" w:right="160" w:firstLine="656"/>
        <w:spacing w:after="0" w:line="293" w:lineRule="auto"/>
        <w:tabs>
          <w:tab w:leader="none" w:pos="1338"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18" w:lineRule="exact"/>
        <w:rPr>
          <w:rFonts w:ascii="Arial" w:cs="Arial" w:eastAsia="Arial" w:hAnsi="Arial"/>
          <w:sz w:val="16"/>
          <w:szCs w:val="16"/>
          <w:color w:val="auto"/>
        </w:rPr>
      </w:pPr>
    </w:p>
    <w:p>
      <w:pPr>
        <w:ind w:left="1340" w:hanging="704"/>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left="-20" w:right="120" w:firstLine="656"/>
        <w:spacing w:after="0" w:line="277" w:lineRule="auto"/>
        <w:tabs>
          <w:tab w:leader="none" w:pos="13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the Closing Date, the Securities shall have been approved for listing and admitted and authorized for trading on the NASDAQ Global Select Market (the “Exchange”).</w:t>
      </w:r>
    </w:p>
    <w:p>
      <w:pPr>
        <w:spacing w:after="0" w:line="224" w:lineRule="exact"/>
        <w:rPr>
          <w:rFonts w:ascii="Arial" w:cs="Arial" w:eastAsia="Arial" w:hAnsi="Arial"/>
          <w:sz w:val="18"/>
          <w:szCs w:val="18"/>
          <w:color w:val="auto"/>
        </w:rPr>
      </w:pPr>
    </w:p>
    <w:p>
      <w:pPr>
        <w:ind w:left="-20" w:right="160" w:firstLine="656"/>
        <w:spacing w:after="0" w:line="264" w:lineRule="auto"/>
        <w:tabs>
          <w:tab w:leader="none" w:pos="13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to be furnished to the Representatives from each executive officer and director of the Company listed on Exhibit A-1 hereto, a letter addressed to the Representatives substantially in the form of Exhibit A hereto.</w:t>
      </w:r>
    </w:p>
    <w:p>
      <w:pPr>
        <w:spacing w:after="0" w:line="235" w:lineRule="exact"/>
        <w:rPr>
          <w:rFonts w:ascii="Arial" w:cs="Arial" w:eastAsia="Arial" w:hAnsi="Arial"/>
          <w:sz w:val="18"/>
          <w:szCs w:val="18"/>
          <w:color w:val="auto"/>
        </w:rPr>
      </w:pPr>
    </w:p>
    <w:p>
      <w:pPr>
        <w:ind w:left="-20" w:right="260" w:firstLine="656"/>
        <w:spacing w:after="0" w:line="277" w:lineRule="auto"/>
        <w:tabs>
          <w:tab w:leader="none" w:pos="14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the Closing Date, the Company shall have taken all action reasonably required to be taken by it to have the Securities declared eligible for clearance and settlement through DTC.</w:t>
      </w:r>
    </w:p>
    <w:p>
      <w:pPr>
        <w:spacing w:after="0" w:line="224" w:lineRule="exact"/>
        <w:rPr>
          <w:rFonts w:ascii="Arial" w:cs="Arial" w:eastAsia="Arial" w:hAnsi="Arial"/>
          <w:sz w:val="18"/>
          <w:szCs w:val="18"/>
          <w:color w:val="auto"/>
        </w:rPr>
      </w:pPr>
    </w:p>
    <w:p>
      <w:pPr>
        <w:ind w:left="-20" w:firstLine="656"/>
        <w:spacing w:after="0" w:line="277" w:lineRule="auto"/>
        <w:tabs>
          <w:tab w:leader="none" w:pos="13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01" w:name="page102"/>
    <w:bookmarkEnd w:id="101"/>
    <w:p>
      <w:pPr>
        <w:ind w:right="200" w:firstLine="1297"/>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5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224" w:lineRule="exact"/>
        <w:rPr>
          <w:sz w:val="20"/>
          <w:szCs w:val="20"/>
          <w:color w:val="auto"/>
        </w:rPr>
      </w:pPr>
    </w:p>
    <w:p>
      <w:pPr>
        <w:ind w:right="140" w:firstLine="656"/>
        <w:spacing w:after="0" w:line="293" w:lineRule="auto"/>
        <w:tabs>
          <w:tab w:leader="none" w:pos="132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218" w:lineRule="exact"/>
        <w:rPr>
          <w:rFonts w:ascii="Arial" w:cs="Arial" w:eastAsia="Arial" w:hAnsi="Arial"/>
          <w:sz w:val="16"/>
          <w:szCs w:val="16"/>
          <w:color w:val="auto"/>
        </w:rPr>
      </w:pPr>
    </w:p>
    <w:p>
      <w:pPr>
        <w:ind w:left="1420" w:hanging="764"/>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267" w:lineRule="auto"/>
        <w:tabs>
          <w:tab w:leader="none" w:pos="138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2" w:name="page103"/>
    <w:bookmarkEnd w:id="102"/>
    <w:p>
      <w:pPr>
        <w:ind w:left="-100" w:right="80" w:firstLine="656"/>
        <w:spacing w:after="0" w:line="288" w:lineRule="auto"/>
        <w:tabs>
          <w:tab w:leader="none" w:pos="129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Underwritten Securities sold by such Selling Stockholder hereunder (the “Selling Stockholder Net Proceeds”).</w:t>
      </w:r>
    </w:p>
    <w:p>
      <w:pPr>
        <w:spacing w:after="0" w:line="223" w:lineRule="exact"/>
        <w:rPr>
          <w:rFonts w:ascii="Arial" w:cs="Arial" w:eastAsia="Arial" w:hAnsi="Arial"/>
          <w:sz w:val="16"/>
          <w:szCs w:val="16"/>
          <w:color w:val="auto"/>
        </w:rPr>
      </w:pPr>
    </w:p>
    <w:p>
      <w:pPr>
        <w:ind w:left="-100" w:firstLine="656"/>
        <w:spacing w:after="0" w:line="270" w:lineRule="auto"/>
        <w:tabs>
          <w:tab w:leader="none" w:pos="1288"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sixth paragraph, the fourteenth paragraph, the fifteenth paragraph, the sixteenth paragraph, and the seventeenth paragraph under the heading “Underwriting (Conflicts of Interest)”, constitute the only information furnished in writing by or on behalf of the several Underwriters for inclusion in the Registration Statement, Preliminary Prospectus, the Prospectus or any Issuer Free Writing Prospectus or any road show.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395" w:right="319" w:bottom="1440" w:gutter="0" w:footer="0" w:header="0"/>
        </w:sectPr>
      </w:pPr>
    </w:p>
    <w:bookmarkStart w:id="103" w:name="page104"/>
    <w:bookmarkEnd w:id="103"/>
    <w:p>
      <w:pPr>
        <w:ind w:left="-20" w:firstLine="656"/>
        <w:spacing w:after="0" w:line="283" w:lineRule="auto"/>
        <w:tabs>
          <w:tab w:leader="none" w:pos="137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Merrill Lynch, Pierce, Fenner &amp; Smith Incorporated, Citigroup Global Markets Inc. and Goldman Sachs &amp; Co.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Merrill Lynch, Pierce, Fenner &amp; Smith Incorporated, Citigroup Global Markets Inc. and Goldman Sachs &amp; Co.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04" w:name="page105"/>
    <w:bookmarkEnd w:id="104"/>
    <w:p>
      <w:pPr>
        <w:ind w:left="-40" w:firstLine="656"/>
        <w:spacing w:after="0" w:line="283" w:lineRule="auto"/>
        <w:tabs>
          <w:tab w:leader="none" w:pos="1348"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limited in the manner and to the extent set forth in paragraph 10(b) and in no event shall the aggregate liability of such Selling Stockholder under paragraph 10(b) and this paragraph (e) exceed the limit set forth in paragraph 10(b).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105" w:name="page106"/>
    <w:bookmarkEnd w:id="105"/>
    <w:p>
      <w:pPr>
        <w:ind w:firstLine="656"/>
        <w:spacing w:after="0" w:line="285" w:lineRule="auto"/>
        <w:tabs>
          <w:tab w:leader="none" w:pos="140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231" w:lineRule="exact"/>
        <w:rPr>
          <w:rFonts w:ascii="Arial" w:cs="Arial" w:eastAsia="Arial" w:hAnsi="Arial"/>
          <w:sz w:val="16"/>
          <w:szCs w:val="16"/>
          <w:color w:val="auto"/>
        </w:rPr>
      </w:pPr>
    </w:p>
    <w:p>
      <w:pPr>
        <w:ind w:firstLine="656"/>
        <w:spacing w:after="0" w:line="269" w:lineRule="auto"/>
        <w:tabs>
          <w:tab w:leader="none" w:pos="141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6" w:name="page107"/>
    <w:bookmarkEnd w:id="106"/>
    <w:p>
      <w:pPr>
        <w:ind w:left="-20" w:right="60" w:firstLine="656"/>
        <w:spacing w:after="0" w:line="257" w:lineRule="auto"/>
        <w:tabs>
          <w:tab w:leader="none" w:pos="13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42" w:lineRule="exact"/>
        <w:rPr>
          <w:rFonts w:ascii="Arial" w:cs="Arial" w:eastAsia="Arial" w:hAnsi="Arial"/>
          <w:sz w:val="18"/>
          <w:szCs w:val="18"/>
          <w:color w:val="auto"/>
        </w:rPr>
      </w:pPr>
    </w:p>
    <w:p>
      <w:pPr>
        <w:ind w:left="-20" w:firstLine="656"/>
        <w:spacing w:after="0" w:line="270" w:lineRule="auto"/>
        <w:tabs>
          <w:tab w:leader="none" w:pos="139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Merrill Lynch, Pierce, Fenner &amp; Smith Incorporated at One Bryant Park, New York, New York 10036, attention of Syndicate Department (facsimile: (646) 855-3073), with a copy to ECM Legal (facsimile: (212) 230-8730); Citigroup Global Markets Inc. (facsimile: (646) 291-1369) and confirmed to the General Counsel, Citigroup Global Markets Inc., at 388 Greenwich Street, New York, New York 10013, Attention: General Counsel; Goldman Sachs &amp; Co. LLC at 200 West Street, New York, New York 10282, Attention: Registration Department; and Jefferies LLC, at 520 Madison Avenue, New York, New York 10022, Attention: Global Head of Syndicate; if sent to the Company or the Management Selling Stockholders,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KKR Selling Stockholder: KKR Vision Aggregator L.P., c/o Kohlberg Kravis Roberts &amp; Co. L.P., 9 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4200, New York, New York 10019; or if to the Berkshire Selling Stockholders: c/o Berkshire Partners, LLC, 200 Clarendon Street, 35th Floor, Boston, Massachusetts 02116. The Company shall be entitled to act and rely upon any request, consent, notice or agreement given or made on behalf of the Underwriters by the Representatives.</w:t>
      </w:r>
    </w:p>
    <w:p>
      <w:pPr>
        <w:spacing w:after="0" w:line="240" w:lineRule="exact"/>
        <w:rPr>
          <w:rFonts w:ascii="Arial" w:cs="Arial" w:eastAsia="Arial" w:hAnsi="Arial"/>
          <w:sz w:val="16"/>
          <w:szCs w:val="16"/>
          <w:color w:val="auto"/>
        </w:rPr>
      </w:pPr>
    </w:p>
    <w:p>
      <w:pPr>
        <w:ind w:left="-20" w:right="340" w:firstLine="656"/>
        <w:spacing w:after="0" w:line="286" w:lineRule="auto"/>
        <w:tabs>
          <w:tab w:leader="none" w:pos="139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9" w:lineRule="exact"/>
        <w:rPr>
          <w:rFonts w:ascii="Arial" w:cs="Arial" w:eastAsia="Arial" w:hAnsi="Arial"/>
          <w:sz w:val="17"/>
          <w:szCs w:val="17"/>
          <w:color w:val="auto"/>
        </w:rPr>
      </w:pPr>
    </w:p>
    <w:p>
      <w:pPr>
        <w:ind w:left="-20" w:right="240" w:firstLine="656"/>
        <w:spacing w:after="0" w:line="277" w:lineRule="auto"/>
        <w:tabs>
          <w:tab w:leader="none" w:pos="13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224" w:lineRule="exact"/>
        <w:rPr>
          <w:rFonts w:ascii="Arial" w:cs="Arial" w:eastAsia="Arial" w:hAnsi="Arial"/>
          <w:sz w:val="18"/>
          <w:szCs w:val="18"/>
          <w:color w:val="auto"/>
        </w:rPr>
      </w:pPr>
    </w:p>
    <w:p>
      <w:pPr>
        <w:ind w:left="-20" w:right="60" w:firstLine="656"/>
        <w:spacing w:after="0" w:line="259" w:lineRule="auto"/>
        <w:tabs>
          <w:tab w:leader="none" w:pos="13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40" w:lineRule="exact"/>
        <w:rPr>
          <w:rFonts w:ascii="Arial" w:cs="Arial" w:eastAsia="Arial" w:hAnsi="Arial"/>
          <w:sz w:val="18"/>
          <w:szCs w:val="18"/>
          <w:color w:val="auto"/>
        </w:rPr>
      </w:pPr>
    </w:p>
    <w:p>
      <w:pPr>
        <w:ind w:left="-20" w:right="60" w:firstLine="656"/>
        <w:spacing w:after="0" w:line="270" w:lineRule="auto"/>
        <w:tabs>
          <w:tab w:leader="none" w:pos="139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or the Selling Stockholders, in connection with such transaction or the process leading thereto.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07" w:name="page108"/>
    <w:bookmarkEnd w:id="107"/>
    <w:p>
      <w:pPr>
        <w:ind w:right="480" w:firstLine="656"/>
        <w:spacing w:after="0" w:line="277" w:lineRule="auto"/>
        <w:tabs>
          <w:tab w:leader="none" w:pos="141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224" w:lineRule="exact"/>
        <w:rPr>
          <w:rFonts w:ascii="Arial" w:cs="Arial" w:eastAsia="Arial" w:hAnsi="Arial"/>
          <w:sz w:val="18"/>
          <w:szCs w:val="18"/>
          <w:color w:val="auto"/>
        </w:rPr>
      </w:pPr>
    </w:p>
    <w:p>
      <w:pPr>
        <w:ind w:right="100" w:firstLine="656"/>
        <w:spacing w:after="0" w:line="259" w:lineRule="auto"/>
        <w:tabs>
          <w:tab w:leader="none" w:pos="141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40" w:lineRule="exact"/>
        <w:rPr>
          <w:rFonts w:ascii="Arial" w:cs="Arial" w:eastAsia="Arial" w:hAnsi="Arial"/>
          <w:sz w:val="18"/>
          <w:szCs w:val="18"/>
          <w:color w:val="auto"/>
        </w:rPr>
      </w:pPr>
    </w:p>
    <w:p>
      <w:pPr>
        <w:ind w:right="220" w:firstLine="656"/>
        <w:spacing w:after="0" w:line="308" w:lineRule="auto"/>
        <w:tabs>
          <w:tab w:leader="none" w:pos="141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200" w:lineRule="exact"/>
        <w:rPr>
          <w:rFonts w:ascii="Arial" w:cs="Arial" w:eastAsia="Arial" w:hAnsi="Arial"/>
          <w:sz w:val="17"/>
          <w:szCs w:val="17"/>
          <w:color w:val="auto"/>
        </w:rPr>
      </w:pPr>
    </w:p>
    <w:p>
      <w:pPr>
        <w:ind w:left="1420" w:hanging="764"/>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shall mean this underwriting agreement.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08" w:name="page109"/>
    <w:bookmarkEnd w:id="108"/>
    <w:p>
      <w:pPr>
        <w:jc w:val="both"/>
        <w:ind w:right="20" w:firstLine="1297"/>
        <w:spacing w:after="0" w:line="259" w:lineRule="auto"/>
        <w:rPr>
          <w:sz w:val="20"/>
          <w:szCs w:val="20"/>
          <w:color w:val="auto"/>
        </w:rPr>
      </w:pPr>
      <w:r>
        <w:rPr>
          <w:rFonts w:ascii="Arial" w:cs="Arial" w:eastAsia="Arial" w:hAnsi="Arial"/>
          <w:sz w:val="18"/>
          <w:szCs w:val="18"/>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214"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97" w:lineRule="exact"/>
        <w:rPr>
          <w:sz w:val="20"/>
          <w:szCs w:val="20"/>
          <w:color w:val="auto"/>
        </w:rPr>
      </w:pPr>
    </w:p>
    <w:p>
      <w:pPr>
        <w:ind w:right="920" w:firstLine="1297"/>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“Execution Time” shall mean [ ● ] p.m. on [ ● ], 2018.</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52"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“Preliminary Prospectus” shall mean any preliminary prospectus referred to in paragraph 1(a) above, including any documents incorporated by reference therein, and any preliminary prospectus included in the Registration Statement at the Effective Date that omits Rule 430A Information.</w:t>
      </w:r>
    </w:p>
    <w:p>
      <w:pPr>
        <w:spacing w:after="0" w:line="15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“Prospectus” shall mean the prospectus (including any documents incorporated by reference therein) relating to the Securities that is first filed pursuant to Rule 424(b) after the Execution Time.</w:t>
      </w:r>
    </w:p>
    <w:p>
      <w:pPr>
        <w:spacing w:after="0" w:line="197"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“Registration Statement” shall mean the registration statement (including any documents incorporated by reference therein)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9" w:name="page110"/>
    <w:bookmarkEnd w:id="109"/>
    <w:p>
      <w:pPr>
        <w:ind w:right="280" w:firstLine="1297"/>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224" w:lineRule="exact"/>
        <w:rPr>
          <w:sz w:val="20"/>
          <w:szCs w:val="20"/>
          <w:color w:val="auto"/>
        </w:rPr>
      </w:pPr>
    </w:p>
    <w:p>
      <w:pPr>
        <w:ind w:right="40" w:firstLine="656"/>
        <w:spacing w:after="0" w:line="255" w:lineRule="auto"/>
        <w:tabs>
          <w:tab w:leader="none" w:pos="141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216"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10" w:name="page111"/>
    <w:bookmarkEnd w:id="110"/>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2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11" w:name="page112"/>
    <w:bookmarkEnd w:id="111"/>
    <w:p>
      <w:pPr>
        <w:ind w:left="4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On behalf of the Management Selling Stockholders:</w:t>
      </w: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14605</wp:posOffset>
            </wp:positionV>
            <wp:extent cx="324167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 Attorney-in-Fact</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112" w:name="page113"/>
    <w:bookmarkEnd w:id="112"/>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p>
      <w:pPr>
        <w:jc w:val="both"/>
        <w:ind w:left="45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KKR Vision Aggregator GP LLC,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Nate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20"/>
          </w:cols>
          <w:pgMar w:left="1440" w:top="611" w:right="1439" w:bottom="1440" w:gutter="0" w:footer="0" w:header="0"/>
        </w:sectPr>
      </w:pPr>
    </w:p>
    <w:bookmarkStart w:id="113" w:name="page114"/>
    <w:bookmarkEnd w:id="113"/>
    <w:p>
      <w:pPr>
        <w:ind w:left="4520"/>
        <w:spacing w:after="0"/>
        <w:rPr>
          <w:sz w:val="20"/>
          <w:szCs w:val="20"/>
          <w:color w:val="auto"/>
        </w:rPr>
      </w:pPr>
      <w:r>
        <w:rPr>
          <w:rFonts w:ascii="Arial" w:cs="Arial" w:eastAsia="Arial" w:hAnsi="Arial"/>
          <w:sz w:val="18"/>
          <w:szCs w:val="18"/>
          <w:color w:val="auto"/>
        </w:rPr>
        <w:t>Very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truly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yours,</w:t>
      </w:r>
    </w:p>
    <w:p>
      <w:pPr>
        <w:spacing w:after="0" w:line="207" w:lineRule="exact"/>
        <w:rPr>
          <w:sz w:val="20"/>
          <w:szCs w:val="20"/>
          <w:color w:val="auto"/>
        </w:rPr>
      </w:pPr>
    </w:p>
    <w:p>
      <w:pPr>
        <w:jc w:val="right"/>
        <w:ind w:right="439"/>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Sixth Berkshire Associates LLC, its general partner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Advisor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INVESTORS LLC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Advisor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INVESTORS III LLC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Advisor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660" w:type="dxa"/>
            <w:vAlign w:val="bottom"/>
          </w:tcPr>
          <w:p>
            <w:pPr>
              <w:spacing w:after="0"/>
              <w:rPr>
                <w:sz w:val="20"/>
                <w:szCs w:val="20"/>
                <w:color w:val="auto"/>
              </w:rPr>
            </w:pPr>
          </w:p>
        </w:tc>
        <w:tc>
          <w:tcPr>
            <w:tcW w:w="4960" w:type="dxa"/>
            <w:vAlign w:val="bottom"/>
          </w:tcPr>
          <w:p>
            <w:pPr>
              <w:ind w:left="960"/>
              <w:spacing w:after="0"/>
              <w:rPr>
                <w:sz w:val="20"/>
                <w:szCs w:val="20"/>
                <w:color w:val="auto"/>
              </w:rPr>
            </w:pPr>
            <w:r>
              <w:rPr>
                <w:rFonts w:ascii="Arial" w:cs="Arial" w:eastAsia="Arial" w:hAnsi="Arial"/>
                <w:sz w:val="18"/>
                <w:szCs w:val="18"/>
                <w:color w:val="auto"/>
              </w:rPr>
              <w:t>Incorporated</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30"/>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30"/>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Goldman Sachs &amp; Co. LLC</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30"/>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Jefferies LLC</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30"/>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 Underwriters named in Schedule I(A) to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500" w:type="dxa"/>
            <w:vAlign w:val="bottom"/>
            <w:gridSpan w:val="4"/>
          </w:tcPr>
          <w:p>
            <w:pPr>
              <w:ind w:left="1120"/>
              <w:spacing w:after="0"/>
              <w:rPr>
                <w:sz w:val="20"/>
                <w:szCs w:val="20"/>
                <w:color w:val="auto"/>
              </w:rPr>
            </w:pPr>
            <w:r>
              <w:rPr>
                <w:rFonts w:ascii="Arial" w:cs="Arial" w:eastAsia="Arial" w:hAnsi="Arial"/>
                <w:sz w:val="18"/>
                <w:szCs w:val="18"/>
                <w:color w:val="auto"/>
              </w:rPr>
              <w:t>SCHEDULE I(A)</w:t>
            </w:r>
          </w:p>
        </w:tc>
      </w:tr>
      <w:tr>
        <w:trPr>
          <w:trHeight w:val="4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 Underwritten Securities</w:t>
            </w: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Underwriters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to be Purchased</w:t>
            </w:r>
          </w:p>
        </w:tc>
      </w:tr>
      <w:tr>
        <w:trPr>
          <w:trHeight w:val="202"/>
        </w:trPr>
        <w:tc>
          <w:tcPr>
            <w:tcW w:w="39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80"/>
              <w:spacing w:after="0"/>
              <w:rPr>
                <w:sz w:val="20"/>
                <w:szCs w:val="20"/>
                <w:color w:val="auto"/>
              </w:rPr>
            </w:pPr>
            <w:r>
              <w:rPr>
                <w:rFonts w:ascii="Arial" w:cs="Arial" w:eastAsia="Arial" w:hAnsi="Arial"/>
                <w:sz w:val="18"/>
                <w:szCs w:val="18"/>
                <w:color w:val="auto"/>
              </w:rPr>
              <w:t>Incorporated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ind w:left="5300"/>
              <w:spacing w:after="0"/>
              <w:rPr>
                <w:sz w:val="20"/>
                <w:szCs w:val="20"/>
                <w:color w:val="auto"/>
              </w:rPr>
            </w:pPr>
            <w:r>
              <w:rPr>
                <w:rFonts w:ascii="Arial" w:cs="Arial" w:eastAsia="Arial" w:hAnsi="Arial"/>
                <w:sz w:val="18"/>
                <w:szCs w:val="18"/>
                <w:color w:val="auto"/>
              </w:rPr>
              <w:t>[ ● ]</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KKR Capital Markets LLC</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3940" w:type="dxa"/>
            <w:vAlign w:val="bottom"/>
            <w:gridSpan w:val="2"/>
          </w:tcPr>
          <w:p>
            <w:pPr>
              <w:spacing w:after="0"/>
              <w:rPr>
                <w:sz w:val="20"/>
                <w:szCs w:val="20"/>
                <w:color w:val="auto"/>
              </w:rPr>
            </w:pPr>
            <w:r>
              <w:rPr>
                <w:rFonts w:ascii="Arial" w:cs="Arial" w:eastAsia="Arial" w:hAnsi="Arial"/>
                <w:sz w:val="18"/>
                <w:szCs w:val="18"/>
                <w:color w:val="auto"/>
              </w:rPr>
              <w:t>[ ● ]</w:t>
            </w: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9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60" w:type="dxa"/>
            <w:vAlign w:val="bottom"/>
            <w:tcBorders>
              <w:top w:val="single" w:sz="8" w:color="auto"/>
            </w:tcBorders>
          </w:tcPr>
          <w:p>
            <w:pPr>
              <w:ind w:left="5340"/>
              <w:spacing w:after="0"/>
              <w:rPr>
                <w:sz w:val="20"/>
                <w:szCs w:val="20"/>
                <w:color w:val="auto"/>
              </w:rPr>
            </w:pPr>
            <w:r>
              <w:rPr>
                <w:rFonts w:ascii="Arial" w:cs="Arial" w:eastAsia="Arial" w:hAnsi="Arial"/>
                <w:sz w:val="18"/>
                <w:szCs w:val="18"/>
                <w:color w:val="auto"/>
                <w:w w:val="96"/>
              </w:rPr>
              <w:t>[ ● ]</w:t>
            </w:r>
          </w:p>
        </w:tc>
        <w:tc>
          <w:tcPr>
            <w:tcW w:w="20" w:type="dxa"/>
            <w:vAlign w:val="bottom"/>
          </w:tcPr>
          <w:p>
            <w:pPr>
              <w:spacing w:after="0"/>
              <w:rPr>
                <w:sz w:val="20"/>
                <w:szCs w:val="20"/>
                <w:color w:val="auto"/>
              </w:rPr>
            </w:pPr>
          </w:p>
        </w:tc>
      </w:tr>
      <w:tr>
        <w:trPr>
          <w:trHeight w:val="627"/>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440" w:type="dxa"/>
            <w:vAlign w:val="bottom"/>
          </w:tcPr>
          <w:p>
            <w:pPr>
              <w:ind w:left="1100"/>
              <w:spacing w:after="0"/>
              <w:rPr>
                <w:sz w:val="20"/>
                <w:szCs w:val="20"/>
                <w:color w:val="auto"/>
              </w:rPr>
            </w:pPr>
            <w:r>
              <w:rPr>
                <w:rFonts w:ascii="Arial" w:cs="Arial" w:eastAsia="Arial" w:hAnsi="Arial"/>
                <w:sz w:val="18"/>
                <w:szCs w:val="18"/>
                <w:color w:val="auto"/>
              </w:rPr>
              <w:t>SCHEDULE I(B)</w:t>
            </w:r>
          </w:p>
        </w:tc>
      </w:tr>
      <w:tr>
        <w:trPr>
          <w:trHeight w:val="419"/>
        </w:trPr>
        <w:tc>
          <w:tcPr>
            <w:tcW w:w="3980" w:type="dxa"/>
            <w:vAlign w:val="bottom"/>
            <w:gridSpan w:val="2"/>
          </w:tcPr>
          <w:p>
            <w:pPr>
              <w:spacing w:after="0"/>
              <w:rPr>
                <w:sz w:val="20"/>
                <w:szCs w:val="20"/>
                <w:color w:val="auto"/>
              </w:rPr>
            </w:pPr>
            <w:r>
              <w:rPr>
                <w:rFonts w:ascii="Arial" w:cs="Arial" w:eastAsia="Arial" w:hAnsi="Arial"/>
                <w:sz w:val="18"/>
                <w:szCs w:val="18"/>
                <w:color w:val="auto"/>
              </w:rPr>
              <w:t>Selling Stockholders</w:t>
            </w:r>
          </w:p>
        </w:tc>
        <w:tc>
          <w:tcPr>
            <w:tcW w:w="7440" w:type="dxa"/>
            <w:vAlign w:val="bottom"/>
          </w:tcPr>
          <w:p>
            <w:pPr>
              <w:ind w:left="1740"/>
              <w:spacing w:after="0"/>
              <w:rPr>
                <w:sz w:val="20"/>
                <w:szCs w:val="20"/>
                <w:color w:val="auto"/>
              </w:rPr>
            </w:pPr>
            <w:r>
              <w:rPr>
                <w:rFonts w:ascii="Arial" w:cs="Arial" w:eastAsia="Arial" w:hAnsi="Arial"/>
                <w:sz w:val="18"/>
                <w:szCs w:val="18"/>
                <w:color w:val="auto"/>
              </w:rPr>
              <w:t>Number of Shares to be Sold</w:t>
            </w:r>
          </w:p>
        </w:tc>
      </w:tr>
      <w:tr>
        <w:trPr>
          <w:trHeight w:val="20"/>
        </w:trPr>
        <w:tc>
          <w:tcPr>
            <w:tcW w:w="15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KKR Vision Aggregator L.P.</w:t>
            </w:r>
          </w:p>
        </w:tc>
        <w:tc>
          <w:tcPr>
            <w:tcW w:w="7440" w:type="dxa"/>
            <w:vAlign w:val="bottom"/>
          </w:tcPr>
          <w:p>
            <w:pPr>
              <w:spacing w:after="0"/>
              <w:rPr>
                <w:sz w:val="19"/>
                <w:szCs w:val="19"/>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Berkshire Fund VI, Limited Partnership</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Berkshire Investors LLC</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Berkshire Investors III LLC</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Jeff Busbee</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L. Reade Fahs</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Mitchell Goodman</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Patrick Moore</w:t>
            </w:r>
          </w:p>
        </w:tc>
        <w:tc>
          <w:tcPr>
            <w:tcW w:w="744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John Vaught</w:t>
            </w:r>
          </w:p>
        </w:tc>
        <w:tc>
          <w:tcPr>
            <w:tcW w:w="7440" w:type="dxa"/>
            <w:vAlign w:val="bottom"/>
          </w:tcPr>
          <w:p>
            <w:pPr>
              <w:spacing w:after="0"/>
              <w:rPr>
                <w:sz w:val="18"/>
                <w:szCs w:val="18"/>
                <w:color w:val="auto"/>
              </w:rPr>
            </w:pPr>
          </w:p>
        </w:tc>
      </w:tr>
      <w:tr>
        <w:trPr>
          <w:trHeight w:val="230"/>
        </w:trPr>
        <w:tc>
          <w:tcPr>
            <w:tcW w:w="3980" w:type="dxa"/>
            <w:vAlign w:val="bottom"/>
            <w:gridSpan w:val="2"/>
          </w:tcPr>
          <w:p>
            <w:pPr>
              <w:ind w:left="700"/>
              <w:spacing w:after="0"/>
              <w:rPr>
                <w:sz w:val="20"/>
                <w:szCs w:val="20"/>
                <w:color w:val="auto"/>
              </w:rPr>
            </w:pPr>
            <w:r>
              <w:rPr>
                <w:rFonts w:ascii="Arial" w:cs="Arial" w:eastAsia="Arial" w:hAnsi="Arial"/>
                <w:sz w:val="18"/>
                <w:szCs w:val="18"/>
                <w:color w:val="auto"/>
              </w:rPr>
              <w:t>Total</w:t>
            </w:r>
          </w:p>
        </w:tc>
        <w:tc>
          <w:tcPr>
            <w:tcW w:w="7440" w:type="dxa"/>
            <w:vAlign w:val="bottom"/>
          </w:tcPr>
          <w:p>
            <w:pPr>
              <w:ind w:left="1740"/>
              <w:spacing w:after="0"/>
              <w:rPr>
                <w:sz w:val="20"/>
                <w:szCs w:val="20"/>
                <w:color w:val="auto"/>
              </w:rPr>
            </w:pPr>
            <w:r>
              <w:rPr>
                <w:rFonts w:ascii="Arial" w:cs="Arial" w:eastAsia="Arial" w:hAnsi="Arial"/>
                <w:sz w:val="18"/>
                <w:szCs w:val="18"/>
                <w:color w:val="auto"/>
              </w:rPr>
              <w:t>[ ● ]</w:t>
            </w:r>
          </w:p>
        </w:tc>
      </w:tr>
      <w:tr>
        <w:trPr>
          <w:trHeight w:val="183"/>
        </w:trPr>
        <w:tc>
          <w:tcPr>
            <w:tcW w:w="15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8" w:right="239" w:bottom="1440" w:gutter="0" w:footer="0" w:header="0"/>
        </w:sectPr>
      </w:pPr>
    </w:p>
    <w:bookmarkStart w:id="117" w:name="page118"/>
    <w:bookmarkEnd w:id="117"/>
    <w:p>
      <w:pPr>
        <w:ind w:left="5060"/>
        <w:spacing w:after="0"/>
        <w:rPr>
          <w:sz w:val="20"/>
          <w:szCs w:val="20"/>
          <w:color w:val="auto"/>
        </w:rPr>
      </w:pPr>
      <w:r>
        <w:rPr>
          <w:rFonts w:ascii="Arial" w:cs="Arial" w:eastAsia="Arial" w:hAnsi="Arial"/>
          <w:sz w:val="22"/>
          <w:szCs w:val="22"/>
          <w:color w:val="auto"/>
        </w:rPr>
        <w:t>SCHEDULE II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52" w:lineRule="exact"/>
        <w:rPr>
          <w:sz w:val="20"/>
          <w:szCs w:val="20"/>
          <w:color w:val="auto"/>
        </w:rPr>
      </w:pPr>
    </w:p>
    <w:p>
      <w:pPr>
        <w:ind w:left="980" w:hanging="486"/>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Documents Incorporated by Reference (other than any portions thereof, which under the Exchange Act and applicable SEC rules, are not deemed “filed”)</w:t>
      </w:r>
    </w:p>
    <w:p>
      <w:pPr>
        <w:spacing w:after="0" w:line="197"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30, 2017 filed March 8,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 filed May 15,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Current Reports on Form 8-K filed on January 23, 2018, March 19, 2018 and June 7, 2018</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October 24, 2017, including any amendments or reports filed for the purposes of updating such description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252" w:lineRule="exact"/>
        <w:rPr>
          <w:sz w:val="20"/>
          <w:szCs w:val="20"/>
          <w:color w:val="auto"/>
        </w:rPr>
      </w:pPr>
    </w:p>
    <w:p>
      <w:pPr>
        <w:ind w:left="980" w:hanging="486"/>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Number of Underwritten Securities: [ ● ]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Number of Option Securities: [ ● ] shares of Common Stock</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Price: $[ ●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18" w:name="page119"/>
    <w:bookmarkEnd w:id="118"/>
    <w:p>
      <w:pPr>
        <w:jc w:val="center"/>
        <w:ind w:right="-1220"/>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Significant Subsidiaries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Nautilus Acquisition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19" w:name="page120"/>
    <w:bookmarkEnd w:id="119"/>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National Vision Holdings,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14"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any two of Merrill Lynch, Pierce, Fenner &amp; Smith Incorporated, Citigroup Global Markets Inc. and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60 days after the date of the Underwriting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foregoing restrictions shall not apply:</w:t>
      </w:r>
    </w:p>
    <w:p>
      <w:pPr>
        <w:spacing w:after="0" w:line="252"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0" w:name="page121"/>
    <w:bookmarkEnd w:id="120"/>
    <w:p>
      <w:pPr>
        <w:ind w:left="644" w:right="80" w:hanging="644"/>
        <w:spacing w:after="0" w:line="302" w:lineRule="auto"/>
        <w:tabs>
          <w:tab w:leader="none" w:pos="64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9" w:lineRule="exact"/>
        <w:rPr>
          <w:rFonts w:ascii="Arial" w:cs="Arial" w:eastAsia="Arial" w:hAnsi="Arial"/>
          <w:sz w:val="17"/>
          <w:szCs w:val="17"/>
          <w:color w:val="auto"/>
        </w:rPr>
      </w:pPr>
    </w:p>
    <w:p>
      <w:pPr>
        <w:ind w:left="644" w:right="180" w:hanging="644"/>
        <w:spacing w:after="0" w:line="273" w:lineRule="auto"/>
        <w:tabs>
          <w:tab w:leader="none" w:pos="64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96520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121" w:name="page122"/>
    <w:bookmarkEnd w:id="121"/>
    <w:p>
      <w:pPr>
        <w:ind w:left="1300" w:right="20" w:hanging="644"/>
        <w:spacing w:after="0" w:line="259"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 [and]</w:t>
      </w:r>
    </w:p>
    <w:p>
      <w:pPr>
        <w:spacing w:after="0" w:line="205" w:lineRule="exact"/>
        <w:rPr>
          <w:rFonts w:ascii="Arial" w:cs="Arial" w:eastAsia="Arial" w:hAnsi="Arial"/>
          <w:sz w:val="17"/>
          <w:szCs w:val="17"/>
          <w:color w:val="auto"/>
        </w:rPr>
      </w:pPr>
    </w:p>
    <w:p>
      <w:pPr>
        <w:ind w:left="1300" w:right="60" w:hanging="644"/>
        <w:spacing w:after="0" w:line="259"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 [and;</w:t>
      </w:r>
    </w:p>
    <w:p>
      <w:pPr>
        <w:spacing w:after="0" w:line="213" w:lineRule="exact"/>
        <w:rPr>
          <w:rFonts w:ascii="Arial" w:cs="Arial" w:eastAsia="Arial" w:hAnsi="Arial"/>
          <w:sz w:val="18"/>
          <w:szCs w:val="18"/>
          <w:color w:val="auto"/>
        </w:rPr>
      </w:pPr>
    </w:p>
    <w:p>
      <w:pPr>
        <w:ind w:left="1300" w:right="520" w:hanging="644"/>
        <w:spacing w:after="0" w:line="270"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transfers of up to [ ● ] shares, for which the board of directors of the Company will waive transfer restrictions in the undersigned’s management stockholder’s agreement].</w:t>
      </w:r>
      <w:r>
        <w:rPr>
          <w:rFonts w:ascii="Arial" w:cs="Arial" w:eastAsia="Arial" w:hAnsi="Arial"/>
          <w:sz w:val="30"/>
          <w:szCs w:val="30"/>
          <w:color w:val="auto"/>
          <w:vertAlign w:val="superscript"/>
        </w:rPr>
        <w:t>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right="120" w:hanging="315"/>
        <w:spacing w:after="0" w:line="272" w:lineRule="auto"/>
        <w:tabs>
          <w:tab w:leader="none" w:pos="1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Merrill Lynch, Pierce, Fenner &amp; Smith Incorporated, Citigroup Global Markets Inc. and Goldman Sachs &amp; Co. LLC an agreement in form and substance satisfactory to Merrill Lynch, Pierce, Fenner &amp; Smith Incorporated, Citigroup Global Markets Inc. and Goldman Sachs &amp; Co.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097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9" w:lineRule="exact"/>
        <w:rPr>
          <w:sz w:val="20"/>
          <w:szCs w:val="20"/>
          <w:color w:val="auto"/>
        </w:rPr>
      </w:pPr>
    </w:p>
    <w:p>
      <w:pPr>
        <w:ind w:left="120" w:hanging="112"/>
        <w:spacing w:after="0"/>
        <w:tabs>
          <w:tab w:leader="none" w:pos="120"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color w:val="auto"/>
        </w:rPr>
        <w:t>To be included for Reade Fahs (up to 30,000 shares) and Jeff Busbee (up to 3,750 shares).</w:t>
      </w:r>
    </w:p>
    <w:p>
      <w:pPr>
        <w:sectPr>
          <w:pgSz w:w="11900" w:h="16838" w:orient="portrait"/>
          <w:cols w:equalWidth="0" w:num="1">
            <w:col w:w="11400"/>
          </w:cols>
          <w:pgMar w:left="240" w:top="368" w:right="259" w:bottom="1440" w:gutter="0" w:footer="0" w:header="0"/>
        </w:sectPr>
      </w:pPr>
    </w:p>
    <w:bookmarkStart w:id="122" w:name="page123"/>
    <w:bookmarkEnd w:id="122"/>
    <w:p>
      <w:pPr>
        <w:spacing w:after="0"/>
        <w:tabs>
          <w:tab w:leader="none" w:pos="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ind w:left="1620" w:right="20" w:hanging="315"/>
        <w:spacing w:after="0" w:line="259"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14"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24" w:name="page125"/>
    <w:bookmarkEnd w:id="124"/>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52" w:lineRule="exact"/>
        <w:rPr>
          <w:sz w:val="20"/>
          <w:szCs w:val="20"/>
          <w:color w:val="auto"/>
        </w:rPr>
      </w:pPr>
    </w:p>
    <w:p>
      <w:pPr>
        <w:jc w:val="both"/>
        <w:ind w:right="240" w:firstLine="1297"/>
        <w:spacing w:after="0" w:line="312" w:lineRule="auto"/>
        <w:rPr>
          <w:sz w:val="20"/>
          <w:szCs w:val="20"/>
          <w:color w:val="auto"/>
        </w:rPr>
      </w:pPr>
      <w:r>
        <w:rPr>
          <w:rFonts w:ascii="Arial" w:cs="Arial" w:eastAsia="Arial" w:hAnsi="Arial"/>
          <w:sz w:val="16"/>
          <w:szCs w:val="16"/>
          <w:color w:val="auto"/>
        </w:rPr>
        <w:t>This letter is being delivered to you in connection with the offering by National Vision Holdings, Inc. (the “Company”) of [ ● ] shares of common stock, $0.01 par value (the “Common Stock”), of the Company and the lock-up letter dated [ ● ], 2018 (the “Lock-up Letter”), executed by you in connection with such offering, and your request for a [waiver] [release] dated [ ● ], 20[ ● ], with respect to [ ● ] shares of Common Stock (the “Shares”).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 ] hereby agree to [waive] [release] the transfer restrictions set forth in the Lock-up Letter, but only with respect to the Shares, effective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 20[ ●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6" w:name="page127"/>
    <w:bookmarkEnd w:id="126"/>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7" w:name="page128"/>
    <w:bookmarkEnd w:id="127"/>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8" w:name="page129"/>
    <w:bookmarkEnd w:id="128"/>
    <w:p>
      <w:pPr>
        <w:spacing w:after="0"/>
        <w:tabs>
          <w:tab w:leader="none" w:pos="10500" w:val="left"/>
        </w:tabs>
        <w:rPr>
          <w:sz w:val="20"/>
          <w:szCs w:val="20"/>
          <w:color w:val="auto"/>
        </w:rPr>
      </w:pPr>
      <w:r>
        <w:rPr>
          <w:rFonts w:ascii="Arial" w:cs="Arial" w:eastAsia="Arial" w:hAnsi="Arial"/>
          <w:sz w:val="18"/>
          <w:szCs w:val="18"/>
          <w:b w:val="1"/>
          <w:bCs w:val="1"/>
          <w:color w:val="auto"/>
        </w:rPr>
        <w:t>Form of Opinion for Berkshire Selling Stockholders</w:t>
      </w:r>
      <w:r>
        <w:rPr>
          <w:sz w:val="20"/>
          <w:szCs w:val="20"/>
          <w:color w:val="auto"/>
        </w:rPr>
        <w:tab/>
      </w: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9" w:name="page130"/>
    <w:bookmarkEnd w:id="129"/>
    <w:p>
      <w:pPr>
        <w:spacing w:after="0"/>
        <w:tabs>
          <w:tab w:leader="none" w:pos="10520" w:val="left"/>
        </w:tabs>
        <w:rPr>
          <w:sz w:val="20"/>
          <w:szCs w:val="20"/>
          <w:color w:val="auto"/>
        </w:rPr>
      </w:pPr>
      <w:r>
        <w:rPr>
          <w:rFonts w:ascii="Arial" w:cs="Arial" w:eastAsia="Arial" w:hAnsi="Arial"/>
          <w:sz w:val="18"/>
          <w:szCs w:val="18"/>
          <w:b w:val="1"/>
          <w:bCs w:val="1"/>
          <w:color w:val="auto"/>
        </w:rPr>
        <w:t>Form of Chief Financial Officer Certificate</w:t>
      </w:r>
      <w:r>
        <w:rPr>
          <w:sz w:val="20"/>
          <w:szCs w:val="20"/>
          <w:color w:val="auto"/>
        </w:rPr>
        <w:tab/>
      </w:r>
      <w:r>
        <w:rPr>
          <w:rFonts w:ascii="Arial" w:cs="Arial" w:eastAsia="Arial" w:hAnsi="Arial"/>
          <w:sz w:val="18"/>
          <w:szCs w:val="18"/>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23,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acted as counsel to National Vision Holdings, Inc., a Delaware corporation (the “Company”), in connection with the Registration Statement on Form S-1 (as amended, the “Registration Statement”) filed by the Company with the Securities and Exchange Commission (the “Commission”) under the Securities Act of 1933, as amended (the “Securities Act”), relating to the sale by the selling stockholders referred to in the Registration Statement (the “Selling Stockholders”) of up to an aggregate of 13,800,000 shares of Common Stock, par value $0.01 per share, of the Company (“Common Stock”) (together with any additional shares of such Common Stock that may be sold by the Selling Stockholders pursuant to Rule 462(b) (as prescribed by the Commission pursuant to the Securities Act) in connection with the offering described in the Registration Statement, the “Shares”).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examined the Registration Statement and a form of the stock certificate for Common Stock, which has been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 hereinafter set forth. As to questions of fact material to this opinion, we have relied upon certificates or comparable documents of public officials and of officers and representatives of the Company.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have been validly issued and are fully paid and nonassessable.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included in the Registration Statement.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S-1 of our report dated March 8, 2018, relating to the consolidated financial statements of National Vision Holdings, Inc. and subsidiaries appearing in the Annual Report on Form 10-K of National Vision Holdings, Inc. for the year ended December 30, 2017, and to the reference to us under the heading “Experts” in the Prospectus, which is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bullet"/>
      <w:start w:val="1"/>
    </w:lvl>
  </w:abstractNum>
  <w:abstractNum w:abstractNumId="8">
    <w:nsid w:val="354FE9F9"/>
    <w:multiLevelType w:val="hybridMultilevel"/>
    <w:lvl w:ilvl="0">
      <w:lvlJc w:val="left"/>
      <w:lvlText w:val="2"/>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1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3"/>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1)"/>
      <w:numFmt w:val="lowerLetter"/>
      <w:start w:val="1"/>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Letter"/>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2"/>
    </w:lvl>
  </w:abstractNum>
  <w:abstractNum w:abstractNumId="52">
    <w:nsid w:val="60B6DF70"/>
    <w:multiLevelType w:val="hybridMultilevel"/>
    <w:lvl w:ilvl="0">
      <w:lvlJc w:val="left"/>
      <w:lvlText w:val="(%1)"/>
      <w:numFmt w:val="lowerLetter"/>
      <w:start w:val="1"/>
    </w:lvl>
  </w:abstractNum>
  <w:abstractNum w:abstractNumId="53">
    <w:nsid w:val="6A5EE64"/>
    <w:multiLevelType w:val="hybridMultilevel"/>
    <w:lvl w:ilvl="0">
      <w:lvlJc w:val="left"/>
      <w:lvlText w:val="(%1)"/>
      <w:numFmt w:val="decimal"/>
      <w:start w:val="1"/>
    </w:lvl>
    <w:lvl w:ilvl="1">
      <w:lvlJc w:val="left"/>
      <w:lvlText w:val="(%2)"/>
      <w:numFmt w:val="upperLetter"/>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2"/>
    </w:lvl>
  </w:abstractNum>
  <w:abstractNum w:abstractNumId="61">
    <w:nsid w:val="6F6DD9AC"/>
    <w:multiLevelType w:val="hybridMultilevel"/>
    <w:lvl w:ilvl="0">
      <w:lvlJc w:val="left"/>
      <w:lvlText w:val="(%1)"/>
      <w:numFmt w:val="lowerLetter"/>
      <w:start w:val="4"/>
    </w:lvl>
  </w:abstractNum>
  <w:abstractNum w:abstractNumId="62">
    <w:nsid w:val="94211F2"/>
    <w:multiLevelType w:val="hybridMultilevel"/>
    <w:lvl w:ilvl="0">
      <w:lvlJc w:val="left"/>
      <w:lvlText w:val="(%1)"/>
      <w:numFmt w:val="lowerLetter"/>
      <w:start w:val="12"/>
    </w:lvl>
  </w:abstractNum>
  <w:abstractNum w:abstractNumId="63">
    <w:nsid w:val="885E1B"/>
    <w:multiLevelType w:val="hybridMultilevel"/>
    <w:lvl w:ilvl="0">
      <w:lvlJc w:val="left"/>
      <w:lvlText w:val="(%1)"/>
      <w:numFmt w:val="lowerLetter"/>
      <w:start w:val="16"/>
    </w:lvl>
  </w:abstractNum>
  <w:abstractNum w:abstractNumId="64">
    <w:nsid w:val="76272110"/>
    <w:multiLevelType w:val="hybridMultilevel"/>
    <w:lvl w:ilvl="0">
      <w:lvlJc w:val="left"/>
      <w:lvlText w:val="(%1)"/>
      <w:numFmt w:val="lowerLetter"/>
      <w:start w:val="20"/>
    </w:lvl>
  </w:abstractNum>
  <w:abstractNum w:abstractNumId="65">
    <w:nsid w:val="4C04A8AF"/>
    <w:multiLevelType w:val="hybridMultilevel"/>
    <w:lvl w:ilvl="0">
      <w:lvlJc w:val="left"/>
      <w:lvlText w:val="(%1)"/>
      <w:numFmt w:val="lowerLetter"/>
      <w:start w:val="25"/>
    </w:lvl>
  </w:abstractNum>
  <w:abstractNum w:abstractNumId="66">
    <w:nsid w:val="1716703B"/>
    <w:multiLevelType w:val="hybridMultilevel"/>
    <w:lvl w:ilvl="0">
      <w:lvlJc w:val="left"/>
      <w:lvlText w:val="(%1)"/>
      <w:numFmt w:val="lowerLetter"/>
      <w:start w:val="27"/>
    </w:lvl>
  </w:abstractNum>
  <w:abstractNum w:abstractNumId="67">
    <w:nsid w:val="14E17E33"/>
    <w:multiLevelType w:val="hybridMultilevel"/>
    <w:lvl w:ilvl="0">
      <w:lvlJc w:val="left"/>
      <w:lvlText w:val="(%1)"/>
      <w:numFmt w:val="lowerLetter"/>
      <w:start w:val="30"/>
    </w:lvl>
  </w:abstractNum>
  <w:abstractNum w:abstractNumId="68">
    <w:nsid w:val="3222E7CD"/>
    <w:multiLevelType w:val="hybridMultilevel"/>
    <w:lvl w:ilvl="0">
      <w:lvlJc w:val="left"/>
      <w:lvlText w:val="(%1)"/>
      <w:numFmt w:val="lowerLetter"/>
      <w:start w:val="34"/>
    </w:lvl>
  </w:abstractNum>
  <w:abstractNum w:abstractNumId="69">
    <w:nsid w:val="74DE0EE3"/>
    <w:multiLevelType w:val="hybridMultilevel"/>
    <w:lvl w:ilvl="0">
      <w:lvlJc w:val="left"/>
      <w:lvlText w:val="(%1)"/>
      <w:numFmt w:val="lowerLetter"/>
      <w:start w:val="40"/>
    </w:lvl>
  </w:abstractNum>
  <w:abstractNum w:abstractNumId="70">
    <w:nsid w:val="68EBC550"/>
    <w:multiLevelType w:val="hybridMultilevel"/>
    <w:lvl w:ilvl="0">
      <w:lvlJc w:val="left"/>
      <w:lvlText w:val="(%1)"/>
      <w:numFmt w:val="lowerLetter"/>
      <w:start w:val="41"/>
    </w:lvl>
  </w:abstractNum>
  <w:abstractNum w:abstractNumId="71">
    <w:nsid w:val="2DF6D648"/>
    <w:multiLevelType w:val="hybridMultilevel"/>
    <w:lvl w:ilvl="0">
      <w:lvlJc w:val="left"/>
      <w:lvlText w:val="%1."/>
      <w:numFmt w:val="decimal"/>
      <w:start w:val="2"/>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4"/>
    </w:lvl>
  </w:abstractNum>
  <w:abstractNum w:abstractNumId="74">
    <w:nsid w:val="39EE015C"/>
    <w:multiLevelType w:val="hybridMultilevel"/>
    <w:lvl w:ilvl="0">
      <w:lvlJc w:val="left"/>
      <w:lvlText w:val="%1"/>
      <w:numFmt w:val="lowerLetter"/>
      <w:start w:val="1"/>
    </w:lvl>
    <w:lvl w:ilvl="1">
      <w:lvlJc w:val="left"/>
      <w:lvlText w:val="%2."/>
      <w:numFmt w:val="decimal"/>
      <w:start w:val="3"/>
    </w:lvl>
  </w:abstractNum>
  <w:abstractNum w:abstractNumId="75">
    <w:nsid w:val="57FC4FBB"/>
    <w:multiLevelType w:val="hybridMultilevel"/>
    <w:lvl w:ilvl="0">
      <w:lvlJc w:val="left"/>
      <w:lvlText w:val="(%1)"/>
      <w:numFmt w:val="lowerLetter"/>
      <w:start w:val="1"/>
    </w:lvl>
    <w:lvl w:ilvl="1">
      <w:lvlJc w:val="left"/>
      <w:lvlText w:val="%2"/>
      <w:numFmt w:val="decimal"/>
      <w:start w:val="1"/>
    </w:lvl>
  </w:abstractNum>
  <w:abstractNum w:abstractNumId="76">
    <w:nsid w:val="CC1016F"/>
    <w:multiLevelType w:val="hybridMultilevel"/>
    <w:lvl w:ilvl="0">
      <w:lvlJc w:val="left"/>
      <w:lvlText w:val="%1."/>
      <w:numFmt w:val="decimal"/>
      <w:start w:val="4"/>
    </w:lvl>
  </w:abstractNum>
  <w:abstractNum w:abstractNumId="77">
    <w:nsid w:val="43F18422"/>
    <w:multiLevelType w:val="hybridMultilevel"/>
    <w:lvl w:ilvl="0">
      <w:lvlJc w:val="left"/>
      <w:lvlText w:val="%1."/>
      <w:numFmt w:val="decimal"/>
      <w:start w:val="5"/>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decimal"/>
      <w:start w:val="1"/>
    </w:lvl>
    <w:lvl w:ilvl="1">
      <w:lvlJc w:val="left"/>
      <w:lvlText w:val="(%2)"/>
      <w:numFmt w:val="lowerLetter"/>
      <w:start w:val="2"/>
    </w:lvl>
  </w:abstractNum>
  <w:abstractNum w:abstractNumId="80">
    <w:nsid w:val="7F01579B"/>
    <w:multiLevelType w:val="hybridMultilevel"/>
    <w:lvl w:ilvl="0">
      <w:lvlJc w:val="left"/>
      <w:lvlText w:val="%1)"/>
      <w:numFmt w:val="decimal"/>
      <w:start w:val="172"/>
    </w:lvl>
    <w:lvl w:ilvl="1">
      <w:lvlJc w:val="left"/>
      <w:lvlText w:val="(%2)"/>
      <w:numFmt w:val="lowerLetter"/>
      <w:start w:val="4"/>
    </w:lvl>
  </w:abstractNum>
  <w:abstractNum w:abstractNumId="81">
    <w:nsid w:val="49DA307D"/>
    <w:multiLevelType w:val="hybridMultilevel"/>
    <w:lvl w:ilvl="0">
      <w:lvlJc w:val="left"/>
      <w:lvlText w:val="%1)"/>
      <w:numFmt w:val="decimal"/>
      <w:start w:val="172"/>
    </w:lvl>
    <w:lvl w:ilvl="1">
      <w:lvlJc w:val="left"/>
      <w:lvlText w:val="%2"/>
      <w:numFmt w:val="lowerLetter"/>
      <w:start w:val="1"/>
    </w:lvl>
  </w:abstractNum>
  <w:abstractNum w:abstractNumId="82">
    <w:nsid w:val="7055A5F5"/>
    <w:multiLevelType w:val="hybridMultilevel"/>
    <w:lvl w:ilvl="0">
      <w:lvlJc w:val="left"/>
      <w:lvlText w:val="(%1)"/>
      <w:numFmt w:val="lowerLetter"/>
      <w:start w:val="7"/>
    </w:lvl>
  </w:abstractNum>
  <w:abstractNum w:abstractNumId="83">
    <w:nsid w:val="5FB8370B"/>
    <w:multiLevelType w:val="hybridMultilevel"/>
    <w:lvl w:ilvl="0">
      <w:lvlJc w:val="left"/>
      <w:lvlText w:val="(%1)"/>
      <w:numFmt w:val="lowerLetter"/>
      <w:start w:val="9"/>
    </w:lvl>
  </w:abstractNum>
  <w:abstractNum w:abstractNumId="84">
    <w:nsid w:val="50801EE1"/>
    <w:multiLevelType w:val="hybridMultilevel"/>
    <w:lvl w:ilvl="0">
      <w:lvlJc w:val="left"/>
      <w:lvlText w:val="(%1)"/>
      <w:numFmt w:val="lowerLetter"/>
      <w:start w:val="12"/>
    </w:lvl>
  </w:abstractNum>
  <w:abstractNum w:abstractNumId="85">
    <w:nsid w:val="488AC1A"/>
    <w:multiLevelType w:val="hybridMultilevel"/>
    <w:lvl w:ilvl="0">
      <w:lvlJc w:val="left"/>
      <w:lvlText w:val="%1."/>
      <w:numFmt w:val="decimal"/>
      <w:start w:val="7"/>
    </w:lvl>
    <w:lvl w:ilvl="1">
      <w:lvlJc w:val="left"/>
      <w:lvlText w:val="(%2)"/>
      <w:numFmt w:val="lowerLetter"/>
      <w:start w:val="1"/>
    </w:lvl>
  </w:abstractNum>
  <w:abstractNum w:abstractNumId="86">
    <w:nsid w:val="5FB8011C"/>
    <w:multiLevelType w:val="hybridMultilevel"/>
    <w:lvl w:ilvl="0">
      <w:lvlJc w:val="left"/>
      <w:lvlText w:val="%1."/>
      <w:numFmt w:val="decimal"/>
      <w:start w:val="8"/>
    </w:lvl>
  </w:abstractNum>
  <w:abstractNum w:abstractNumId="87">
    <w:nsid w:val="6AA78F7F"/>
    <w:multiLevelType w:val="hybridMultilevel"/>
    <w:lvl w:ilvl="0">
      <w:lvlJc w:val="left"/>
      <w:lvlText w:val="(%1)"/>
      <w:numFmt w:val="lowerLetter"/>
      <w:start w:val="1"/>
    </w:lvl>
    <w:lvl w:ilvl="1">
      <w:lvlJc w:val="left"/>
      <w:lvlText w:val="(%2)"/>
      <w:numFmt w:val="lowerRoman"/>
      <w:start w:val="2"/>
    </w:lvl>
  </w:abstractNum>
  <w:abstractNum w:abstractNumId="88">
    <w:nsid w:val="7672BD23"/>
    <w:multiLevelType w:val="hybridMultilevel"/>
    <w:lvl w:ilvl="0">
      <w:lvlJc w:val="left"/>
      <w:lvlText w:val="(%1)"/>
      <w:numFmt w:val="lowerLetter"/>
      <w:start w:val="4"/>
    </w:lvl>
    <w:lvl w:ilvl="1">
      <w:lvlJc w:val="left"/>
      <w:lvlText w:val="(%2)"/>
      <w:numFmt w:val="decimal"/>
      <w:start w:val="1"/>
    </w:lvl>
  </w:abstractNum>
  <w:abstractNum w:abstractNumId="89">
    <w:nsid w:val="6FC75AF8"/>
    <w:multiLevelType w:val="hybridMultilevel"/>
    <w:lvl w:ilvl="0">
      <w:lvlJc w:val="left"/>
      <w:lvlText w:val="%1"/>
      <w:numFmt w:val="lowerLetter"/>
      <w:start w:val="1"/>
    </w:lvl>
    <w:lvl w:ilvl="1">
      <w:lvlJc w:val="left"/>
      <w:lvlText w:val="(%2)"/>
      <w:numFmt w:val="decimal"/>
      <w:start w:val="2"/>
    </w:lvl>
  </w:abstractNum>
  <w:abstractNum w:abstractNumId="90">
    <w:nsid w:val="6A5F7029"/>
    <w:multiLevelType w:val="hybridMultilevel"/>
    <w:lvl w:ilvl="0">
      <w:lvlJc w:val="left"/>
      <w:lvlText w:val="(%1)"/>
      <w:numFmt w:val="lowerLetter"/>
      <w:start w:val="8"/>
    </w:lvl>
    <w:lvl w:ilvl="1">
      <w:lvlJc w:val="left"/>
      <w:lvlText w:val="%2"/>
      <w:numFmt w:val="decimal"/>
      <w:start w:val="1"/>
    </w:lvl>
  </w:abstractNum>
  <w:abstractNum w:abstractNumId="91">
    <w:nsid w:val="7D5E18F8"/>
    <w:multiLevelType w:val="hybridMultilevel"/>
    <w:lvl w:ilvl="0">
      <w:lvlJc w:val="left"/>
      <w:lvlText w:val="%1."/>
      <w:numFmt w:val="decimal"/>
      <w:start w:val="9"/>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2"/>
    </w:lvl>
  </w:abstractNum>
  <w:abstractNum w:abstractNumId="94">
    <w:nsid w:val="7DE67713"/>
    <w:multiLevelType w:val="hybridMultilevel"/>
    <w:lvl w:ilvl="0">
      <w:lvlJc w:val="left"/>
      <w:lvlText w:val="(%1)"/>
      <w:numFmt w:val="lowerLetter"/>
      <w:start w:val="4"/>
    </w:lvl>
  </w:abstractNum>
  <w:abstractNum w:abstractNumId="95">
    <w:nsid w:val="555C55B5"/>
    <w:multiLevelType w:val="hybridMultilevel"/>
    <w:lvl w:ilvl="0">
      <w:lvlJc w:val="left"/>
      <w:lvlText w:val="(%1)"/>
      <w:numFmt w:val="lowerLetter"/>
      <w:start w:val="5"/>
    </w:lvl>
  </w:abstractNum>
  <w:abstractNum w:abstractNumId="96">
    <w:nsid w:val="3FA62ACA"/>
    <w:multiLevelType w:val="hybridMultilevel"/>
    <w:lvl w:ilvl="0">
      <w:lvlJc w:val="left"/>
      <w:lvlText w:val="%1."/>
      <w:numFmt w:val="decimal"/>
      <w:start w:val="11"/>
    </w:lvl>
  </w:abstractNum>
  <w:abstractNum w:abstractNumId="97">
    <w:nsid w:val="14FCE74E"/>
    <w:multiLevelType w:val="hybridMultilevel"/>
    <w:lvl w:ilvl="0">
      <w:lvlJc w:val="left"/>
      <w:lvlText w:val="%1."/>
      <w:numFmt w:val="decimal"/>
      <w:start w:val="13"/>
    </w:lvl>
  </w:abstractNum>
  <w:abstractNum w:abstractNumId="98">
    <w:nsid w:val="6A3DD3E8"/>
    <w:multiLevelType w:val="hybridMultilevel"/>
    <w:lvl w:ilvl="0">
      <w:lvlJc w:val="left"/>
      <w:lvlText w:val="%1."/>
      <w:numFmt w:val="decimal"/>
      <w:start w:val="19"/>
    </w:lvl>
  </w:abstractNum>
  <w:abstractNum w:abstractNumId="99">
    <w:nsid w:val="71C91298"/>
    <w:multiLevelType w:val="hybridMultilevel"/>
    <w:lvl w:ilvl="0">
      <w:lvlJc w:val="left"/>
      <w:lvlText w:val="%1."/>
      <w:numFmt w:val="decimal"/>
      <w:start w:val="24"/>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1)"/>
      <w:numFmt w:val="lowerRoman"/>
      <w:start w:val="1"/>
    </w:lvl>
  </w:abstractNum>
  <w:abstractNum w:abstractNumId="104">
    <w:nsid w:val="1D545C4D"/>
    <w:multiLevelType w:val="hybridMultilevel"/>
    <w:lvl w:ilvl="0">
      <w:lvlJc w:val="left"/>
      <w:lvlText w:val="(%1)"/>
      <w:numFmt w:val="lowerRoman"/>
      <w:start w:val="3"/>
    </w:lvl>
  </w:abstractNum>
  <w:abstractNum w:abstractNumId="105">
    <w:nsid w:val="59ADEA3D"/>
    <w:multiLevelType w:val="hybridMultilevel"/>
    <w:lvl w:ilvl="0">
      <w:lvlJc w:val="left"/>
      <w:lvlText w:val="(%1)"/>
      <w:numFmt w:val="lowerRoman"/>
      <w:start w:val="9"/>
    </w:lvl>
  </w:abstractNum>
  <w:abstractNum w:abstractNumId="106">
    <w:nsid w:val="288F1A34"/>
    <w:multiLevelType w:val="hybridMultilevel"/>
    <w:lvl w:ilvl="0">
      <w:lvlJc w:val="left"/>
      <w:lvlText w:val="%1."/>
      <w:numFmt w:val="upperLetter"/>
      <w:start w:val="1"/>
    </w:lvl>
  </w:abstractNum>
  <w:abstractNum w:abstractNumId="107">
    <w:nsid w:val="2A155DBC"/>
    <w:multiLevelType w:val="hybridMultilevel"/>
    <w:lvl w:ilvl="0">
      <w:lvlJc w:val="left"/>
      <w:lvlText w:val="1"/>
      <w:numFmt w:val="bullet"/>
      <w:start w:val="1"/>
    </w:lvl>
  </w:abstractNum>
  <w:abstractNum w:abstractNumId="108">
    <w:nsid w:val="1D9F6E5F"/>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117" Type="http://schemas.openxmlformats.org/officeDocument/2006/relationships/hyperlink" Target="http://www.sec.gov/Archives/edgar/data/1710155/000156761917002270/s001582x19_ex3-1.htm" TargetMode="External"/><Relationship Id="rId118" Type="http://schemas.openxmlformats.org/officeDocument/2006/relationships/hyperlink" Target="http://www.sec.gov/Archives/edgar/data/1710155/000156761917002270/s001582x19_ex3-2.htm" TargetMode="External"/><Relationship Id="rId119" Type="http://schemas.openxmlformats.org/officeDocument/2006/relationships/hyperlink" Target="http://www.sec.gov/Archives/edgar/data/1710155/000156761917002184/s001582x10_ex4-1.htm" TargetMode="External"/><Relationship Id="rId120" Type="http://schemas.openxmlformats.org/officeDocument/2006/relationships/hyperlink" Target="http://www.sec.gov/Archives/edgar/data/1710155/000156761917002082/s001582x7_ex4-2.htm" TargetMode="External"/><Relationship Id="rId121" Type="http://schemas.openxmlformats.org/officeDocument/2006/relationships/hyperlink" Target="http://www.sec.gov/Archives/edgar/data/1710155/000156761917002270/s001582x19_ex4-1.htm" TargetMode="External"/><Relationship Id="rId122" Type="http://schemas.openxmlformats.org/officeDocument/2006/relationships/hyperlink" Target="http://www.sec.gov/Archives/edgar/data/1710155/000156761917002082/s001582x7_ex10-3.htm" TargetMode="External"/><Relationship Id="rId123" Type="http://schemas.openxmlformats.org/officeDocument/2006/relationships/hyperlink" Target="http://www.sec.gov/Archives/edgar/data/1710155/000156761917002082/s001582x7_ex10-4.htm" TargetMode="External"/><Relationship Id="rId124" Type="http://schemas.openxmlformats.org/officeDocument/2006/relationships/hyperlink" Target="http://www.sec.gov/Archives/edgar/data/1710155/000156761917002082/s001582x7_ex10-5.htm" TargetMode="External"/><Relationship Id="rId125" Type="http://schemas.openxmlformats.org/officeDocument/2006/relationships/hyperlink" Target="http://www.sec.gov/Archives/edgar/data/1710155/000156761917002270/s001582x19_ex10-1.htm" TargetMode="External"/><Relationship Id="rId129" Type="http://schemas.openxmlformats.org/officeDocument/2006/relationships/hyperlink" Target="http://www.sec.gov/Archives/edgar/data/1710155/000156761917002367/s001971x1_ex10-5.htm" TargetMode="External"/><Relationship Id="rId130" Type="http://schemas.openxmlformats.org/officeDocument/2006/relationships/hyperlink" Target="http://www.sec.gov/Archives/edgar/data/1710155/000156761917002082/s001582x7_ex10-6.htm" TargetMode="External"/><Relationship Id="rId131" Type="http://schemas.openxmlformats.org/officeDocument/2006/relationships/hyperlink" Target="http://www.sec.gov/Archives/edgar/data/1710155/000156761917002082/s001582x7_ex10-7.htm" TargetMode="External"/><Relationship Id="rId132" Type="http://schemas.openxmlformats.org/officeDocument/2006/relationships/hyperlink" Target="http://www.sec.gov/Archives/edgar/data/1710155/000156761917002082/s001582x7_ex10-8.htm" TargetMode="External"/><Relationship Id="rId133" Type="http://schemas.openxmlformats.org/officeDocument/2006/relationships/hyperlink" Target="http://www.sec.gov/Archives/edgar/data/1710155/000156761917002270/s001582x19_ex10-2.htm" TargetMode="External"/><Relationship Id="rId134" Type="http://schemas.openxmlformats.org/officeDocument/2006/relationships/hyperlink" Target="http://www.sec.gov/Archives/edgar/data/1710155/000156761917002184/s001582x10_ex10-15.htm" TargetMode="External"/><Relationship Id="rId135" Type="http://schemas.openxmlformats.org/officeDocument/2006/relationships/hyperlink" Target="http://www.sec.gov/Archives/edgar/data/1710155/000156761917002082/s001582x7_ex10-16.htm" TargetMode="External"/><Relationship Id="rId136" Type="http://schemas.openxmlformats.org/officeDocument/2006/relationships/hyperlink" Target="http://www.sec.gov/Archives/edgar/data/1710155/000156761917002082/s001582x7_ex10-17.htm" TargetMode="External"/><Relationship Id="rId137" Type="http://schemas.openxmlformats.org/officeDocument/2006/relationships/hyperlink" Target="http://www.sec.gov/Archives/edgar/data/1710155/000156761917002082/s001582x7_ex10-18.htm" TargetMode="External"/><Relationship Id="rId138" Type="http://schemas.openxmlformats.org/officeDocument/2006/relationships/hyperlink" Target="http://www.sec.gov/Archives/edgar/data/1710155/000156761917002082/s001582x7_ex10-19.htm" TargetMode="External"/><Relationship Id="rId139" Type="http://schemas.openxmlformats.org/officeDocument/2006/relationships/hyperlink" Target="http://www.sec.gov/Archives/edgar/data/1710155/000156761917002082/s001582x7_ex10-20.htm" TargetMode="External"/><Relationship Id="rId140" Type="http://schemas.openxmlformats.org/officeDocument/2006/relationships/hyperlink" Target="http://www.sec.gov/Archives/edgar/data/1710155/000156761917002082/s001582x7_ex10-21.htm" TargetMode="External"/><Relationship Id="rId144" Type="http://schemas.openxmlformats.org/officeDocument/2006/relationships/hyperlink" Target="http://www.sec.gov/Archives/edgar/data/1710155/000156761917002082/s001582x7_ex10-23.htm" TargetMode="External"/><Relationship Id="rId145" Type="http://schemas.openxmlformats.org/officeDocument/2006/relationships/hyperlink" Target="http://www.sec.gov/Archives/edgar/data/1710155/000156761917002082/s001582x7_ex10-24.htm" TargetMode="External"/><Relationship Id="rId146" Type="http://schemas.openxmlformats.org/officeDocument/2006/relationships/hyperlink" Target="http://www.sec.gov/Archives/edgar/data/1710155/000156761917002082/s001582x7_ex10-25.htm" TargetMode="External"/><Relationship Id="rId147" Type="http://schemas.openxmlformats.org/officeDocument/2006/relationships/hyperlink" Target="http://www.sec.gov/Archives/edgar/data/1710155/000156761917002082/s001582x7_ex10-26.htm" TargetMode="External"/><Relationship Id="rId148" Type="http://schemas.openxmlformats.org/officeDocument/2006/relationships/hyperlink" Target="http://www.sec.gov/Archives/edgar/data/1710155/000156761917002082/s001582x7_ex10-27.htm" TargetMode="External"/><Relationship Id="rId149" Type="http://schemas.openxmlformats.org/officeDocument/2006/relationships/hyperlink" Target="http://www.sec.gov/Archives/edgar/data/1710155/000156761917002082/s001582x7_ex10-28.htm" TargetMode="External"/><Relationship Id="rId150" Type="http://schemas.openxmlformats.org/officeDocument/2006/relationships/hyperlink" Target="http://www.sec.gov/Archives/edgar/data/1710155/000156761917002082/s001582x7_ex10-29.htm" TargetMode="External"/><Relationship Id="rId151" Type="http://schemas.openxmlformats.org/officeDocument/2006/relationships/hyperlink" Target="http://www.sec.gov/Archives/edgar/data/1710155/000156761917002082/s001582x7_ex10-30.htm" TargetMode="External"/><Relationship Id="rId152" Type="http://schemas.openxmlformats.org/officeDocument/2006/relationships/hyperlink" Target="http://www.sec.gov/Archives/edgar/data/1710155/000156761917002082/s001582x7_ex10-31.htm" TargetMode="External"/><Relationship Id="rId153" Type="http://schemas.openxmlformats.org/officeDocument/2006/relationships/hyperlink" Target="http://www.sec.gov/Archives/edgar/data/1710155/000156761917002082/s001582x7_ex10-32.htm" TargetMode="External"/><Relationship Id="rId154" Type="http://schemas.openxmlformats.org/officeDocument/2006/relationships/hyperlink" Target="http://www.sec.gov/Archives/edgar/data/1710155/000156761917002082/s001582x7_ex10-33.htm" TargetMode="External"/><Relationship Id="rId155" Type="http://schemas.openxmlformats.org/officeDocument/2006/relationships/hyperlink" Target="http://www.sec.gov/Archives/edgar/data/1710155/000171015518000020/exhibit101essilor-ltragmt3.htm" TargetMode="External"/><Relationship Id="rId156" Type="http://schemas.openxmlformats.org/officeDocument/2006/relationships/hyperlink" Target="http://www.sec.gov/Archives/edgar/data/1710155/000156761917002184/s001582x10_ex10-34.htm" TargetMode="External"/><Relationship Id="rId160" Type="http://schemas.openxmlformats.org/officeDocument/2006/relationships/hyperlink" Target="http://www.sec.gov/Archives/edgar/data/1710155/000156761917002184/s001582x10_ex10-35.htm" TargetMode="External"/><Relationship Id="rId161" Type="http://schemas.openxmlformats.org/officeDocument/2006/relationships/hyperlink" Target="http://www.sec.gov/Archives/edgar/data/1710155/000156761917002184/s001582x10_ex10-36.htm" TargetMode="External"/><Relationship Id="rId162" Type="http://schemas.openxmlformats.org/officeDocument/2006/relationships/hyperlink" Target="http://www.sec.gov/Archives/edgar/data/1710155/000171015518000005/ex101formofdirectorstockho.htm" TargetMode="External"/><Relationship Id="rId163" Type="http://schemas.openxmlformats.org/officeDocument/2006/relationships/hyperlink" Target="http://www.sec.gov/Archives/edgar/data/1710155/000162612917000582/s001582x16_ex4-4.htm" TargetMode="External"/><Relationship Id="rId164" Type="http://schemas.openxmlformats.org/officeDocument/2006/relationships/hyperlink" Target="http://www.sec.gov/Archives/edgar/data/1710155/000171015518000012/exhibit1039-jmcallistersto.htm" TargetMode="External"/><Relationship Id="rId165" Type="http://schemas.openxmlformats.org/officeDocument/2006/relationships/hyperlink" Target="http://www.sec.gov/Archives/edgar/data/1710155/000114036118019468/s002199x1_def14a.htm" TargetMode="External"/><Relationship Id="rId166" Type="http://schemas.openxmlformats.org/officeDocument/2006/relationships/hyperlink" Target="http://www.sec.gov/Archives/edgar/data/1710155/000171015518000012/exhibit211-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2019-12-08T17:14:15Z</dcterms:created>
  <dcterms:modified xsi:type="dcterms:W3CDTF">2019-12-08T17:14:15Z</dcterms:modified>
</cp:coreProperties>
</file>