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890"/>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July 26, 2023 (July 20, 2023)</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001-38257</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w:t>
      </w:r>
    </w:p>
    <w:p>
      <w:pPr>
        <w:spacing w:after="0" w:line="122" w:lineRule="exact"/>
        <w:rPr>
          <w:sz w:val="24"/>
          <w:szCs w:val="24"/>
          <w:color w:val="auto"/>
        </w:rPr>
      </w:pPr>
    </w:p>
    <w:tbl>
      <w:tblPr>
        <w:tblLayout w:type="fixed"/>
        <w:tblInd w:w="1960" w:type="dxa"/>
        <w:tblCellMar>
          <w:top w:w="0" w:type="dxa"/>
          <w:left w:w="0" w:type="dxa"/>
          <w:bottom w:w="0" w:type="dxa"/>
          <w:right w:w="0" w:type="dxa"/>
        </w:tblCellMar>
      </w:tblPr>
      <w:tr>
        <w:trPr>
          <w:trHeight w:val="210"/>
        </w:trPr>
        <w:tc>
          <w:tcPr>
            <w:tcW w:w="4040" w:type="dxa"/>
            <w:vAlign w:val="bottom"/>
          </w:tcPr>
          <w:p>
            <w:pPr>
              <w:jc w:val="center"/>
              <w:ind w:right="1399"/>
              <w:spacing w:after="0"/>
              <w:rPr>
                <w:sz w:val="20"/>
                <w:szCs w:val="20"/>
                <w:color w:val="auto"/>
              </w:rPr>
            </w:pPr>
            <w:r>
              <w:rPr>
                <w:rFonts w:ascii="Arial" w:cs="Arial" w:eastAsia="Arial" w:hAnsi="Arial"/>
                <w:sz w:val="16"/>
                <w:szCs w:val="16"/>
                <w:b w:val="1"/>
                <w:bCs w:val="1"/>
                <w:color w:val="auto"/>
                <w:w w:val="91"/>
              </w:rPr>
              <w:t>Delaware</w:t>
            </w:r>
          </w:p>
        </w:tc>
        <w:tc>
          <w:tcPr>
            <w:tcW w:w="268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4040" w:type="dxa"/>
            <w:vAlign w:val="bottom"/>
          </w:tcPr>
          <w:p>
            <w:pPr>
              <w:jc w:val="center"/>
              <w:ind w:right="1399"/>
              <w:spacing w:after="0"/>
              <w:rPr>
                <w:sz w:val="20"/>
                <w:szCs w:val="20"/>
                <w:color w:val="auto"/>
              </w:rPr>
            </w:pPr>
            <w:r>
              <w:rPr>
                <w:rFonts w:ascii="Arial" w:cs="Arial" w:eastAsia="Arial" w:hAnsi="Arial"/>
                <w:sz w:val="16"/>
                <w:szCs w:val="16"/>
                <w:color w:val="auto"/>
                <w:w w:val="93"/>
              </w:rPr>
              <w:t>(State or other jurisdiction of</w:t>
            </w:r>
          </w:p>
        </w:tc>
        <w:tc>
          <w:tcPr>
            <w:tcW w:w="2680" w:type="dxa"/>
            <w:vAlign w:val="bottom"/>
          </w:tcPr>
          <w:p>
            <w:pPr>
              <w:jc w:val="center"/>
              <w:ind w:left="1379"/>
              <w:spacing w:after="0"/>
              <w:rPr>
                <w:sz w:val="20"/>
                <w:szCs w:val="20"/>
                <w:color w:val="auto"/>
              </w:rPr>
            </w:pPr>
            <w:r>
              <w:rPr>
                <w:rFonts w:ascii="Arial" w:cs="Arial" w:eastAsia="Arial" w:hAnsi="Arial"/>
                <w:sz w:val="16"/>
                <w:szCs w:val="16"/>
                <w:color w:val="auto"/>
                <w:w w:val="94"/>
              </w:rPr>
              <w:t>(IRS Employer</w:t>
            </w:r>
          </w:p>
        </w:tc>
      </w:tr>
      <w:tr>
        <w:trPr>
          <w:trHeight w:val="206"/>
        </w:trPr>
        <w:tc>
          <w:tcPr>
            <w:tcW w:w="4040" w:type="dxa"/>
            <w:vAlign w:val="bottom"/>
          </w:tcPr>
          <w:p>
            <w:pPr>
              <w:jc w:val="center"/>
              <w:ind w:right="1399"/>
              <w:spacing w:after="0"/>
              <w:rPr>
                <w:sz w:val="20"/>
                <w:szCs w:val="20"/>
                <w:color w:val="auto"/>
              </w:rPr>
            </w:pPr>
            <w:r>
              <w:rPr>
                <w:rFonts w:ascii="Arial" w:cs="Arial" w:eastAsia="Arial" w:hAnsi="Arial"/>
                <w:sz w:val="16"/>
                <w:szCs w:val="16"/>
                <w:color w:val="auto"/>
                <w:w w:val="94"/>
              </w:rPr>
              <w:t>incorporation)</w:t>
            </w:r>
          </w:p>
        </w:tc>
        <w:tc>
          <w:tcPr>
            <w:tcW w:w="2680" w:type="dxa"/>
            <w:vAlign w:val="bottom"/>
          </w:tcPr>
          <w:p>
            <w:pPr>
              <w:jc w:val="center"/>
              <w:ind w:left="1379"/>
              <w:spacing w:after="0"/>
              <w:rPr>
                <w:sz w:val="20"/>
                <w:szCs w:val="20"/>
                <w:color w:val="auto"/>
              </w:rPr>
            </w:pPr>
            <w:r>
              <w:rPr>
                <w:rFonts w:ascii="Arial" w:cs="Arial" w:eastAsia="Arial" w:hAnsi="Arial"/>
                <w:sz w:val="16"/>
                <w:szCs w:val="16"/>
                <w:color w:val="auto"/>
                <w:w w:val="97"/>
              </w:rPr>
              <w:t>Identification No.)</w:t>
            </w:r>
          </w:p>
        </w:tc>
      </w:tr>
      <w:tr>
        <w:trPr>
          <w:trHeight w:val="365"/>
        </w:trPr>
        <w:tc>
          <w:tcPr>
            <w:tcW w:w="4040" w:type="dxa"/>
            <w:vAlign w:val="bottom"/>
          </w:tcPr>
          <w:p>
            <w:pPr>
              <w:jc w:val="center"/>
              <w:ind w:right="1399"/>
              <w:spacing w:after="0"/>
              <w:rPr>
                <w:sz w:val="20"/>
                <w:szCs w:val="20"/>
                <w:color w:val="auto"/>
              </w:rPr>
            </w:pPr>
            <w:r>
              <w:rPr>
                <w:rFonts w:ascii="Arial" w:cs="Arial" w:eastAsia="Arial" w:hAnsi="Arial"/>
                <w:sz w:val="16"/>
                <w:szCs w:val="16"/>
                <w:b w:val="1"/>
                <w:bCs w:val="1"/>
                <w:color w:val="auto"/>
                <w:w w:val="89"/>
              </w:rPr>
              <w:t>2435 Commerce Ave.</w:t>
            </w:r>
          </w:p>
        </w:tc>
        <w:tc>
          <w:tcPr>
            <w:tcW w:w="2680" w:type="dxa"/>
            <w:vAlign w:val="bottom"/>
          </w:tcPr>
          <w:p>
            <w:pPr>
              <w:spacing w:after="0"/>
              <w:rPr>
                <w:sz w:val="24"/>
                <w:szCs w:val="24"/>
                <w:color w:val="auto"/>
              </w:rPr>
            </w:pPr>
          </w:p>
        </w:tc>
      </w:tr>
      <w:tr>
        <w:trPr>
          <w:trHeight w:val="216"/>
        </w:trPr>
        <w:tc>
          <w:tcPr>
            <w:tcW w:w="4040" w:type="dxa"/>
            <w:vAlign w:val="bottom"/>
          </w:tcPr>
          <w:p>
            <w:pPr>
              <w:jc w:val="center"/>
              <w:ind w:right="1399"/>
              <w:spacing w:after="0"/>
              <w:rPr>
                <w:sz w:val="20"/>
                <w:szCs w:val="20"/>
                <w:color w:val="auto"/>
              </w:rPr>
            </w:pPr>
            <w:r>
              <w:rPr>
                <w:rFonts w:ascii="Arial" w:cs="Arial" w:eastAsia="Arial" w:hAnsi="Arial"/>
                <w:sz w:val="16"/>
                <w:szCs w:val="16"/>
                <w:b w:val="1"/>
                <w:bCs w:val="1"/>
                <w:color w:val="auto"/>
                <w:w w:val="92"/>
              </w:rPr>
              <w:t>Building 2200</w:t>
            </w:r>
          </w:p>
        </w:tc>
        <w:tc>
          <w:tcPr>
            <w:tcW w:w="268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040" w:type="dxa"/>
            <w:vAlign w:val="bottom"/>
          </w:tcPr>
          <w:p>
            <w:pPr>
              <w:ind w:left="740"/>
              <w:spacing w:after="0"/>
              <w:rPr>
                <w:sz w:val="20"/>
                <w:szCs w:val="20"/>
                <w:color w:val="auto"/>
              </w:rPr>
            </w:pPr>
            <w:r>
              <w:rPr>
                <w:rFonts w:ascii="Arial" w:cs="Arial" w:eastAsia="Arial" w:hAnsi="Arial"/>
                <w:sz w:val="16"/>
                <w:szCs w:val="16"/>
                <w:b w:val="1"/>
                <w:bCs w:val="1"/>
                <w:color w:val="auto"/>
              </w:rPr>
              <w:t>Duluth, Georgia</w:t>
            </w:r>
          </w:p>
        </w:tc>
        <w:tc>
          <w:tcPr>
            <w:tcW w:w="2680" w:type="dxa"/>
            <w:vAlign w:val="bottom"/>
          </w:tcPr>
          <w:p>
            <w:pPr>
              <w:jc w:val="center"/>
              <w:ind w:left="1379"/>
              <w:spacing w:after="0"/>
              <w:rPr>
                <w:sz w:val="20"/>
                <w:szCs w:val="20"/>
                <w:color w:val="auto"/>
              </w:rPr>
            </w:pPr>
            <w:r>
              <w:rPr>
                <w:rFonts w:ascii="Arial" w:cs="Arial" w:eastAsia="Arial" w:hAnsi="Arial"/>
                <w:sz w:val="16"/>
                <w:szCs w:val="16"/>
                <w:color w:val="auto"/>
                <w:w w:val="92"/>
              </w:rPr>
              <w:t>(Zip Code)</w:t>
            </w:r>
          </w:p>
        </w:tc>
      </w:tr>
      <w:tr>
        <w:trPr>
          <w:trHeight w:val="216"/>
        </w:trPr>
        <w:tc>
          <w:tcPr>
            <w:tcW w:w="4040" w:type="dxa"/>
            <w:vAlign w:val="bottom"/>
          </w:tcPr>
          <w:p>
            <w:pPr>
              <w:jc w:val="center"/>
              <w:ind w:right="139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spacing w:after="0"/>
              <w:rPr>
                <w:sz w:val="18"/>
                <w:szCs w:val="18"/>
                <w:color w:val="auto"/>
              </w:rPr>
            </w:pPr>
          </w:p>
        </w:tc>
      </w:tr>
    </w:tbl>
    <w:p>
      <w:pPr>
        <w:spacing w:after="0" w:line="73" w:lineRule="exact"/>
        <w:rPr>
          <w:sz w:val="24"/>
          <w:szCs w:val="24"/>
          <w:color w:val="auto"/>
        </w:rPr>
      </w:pPr>
    </w:p>
    <w:p>
      <w:pPr>
        <w:jc w:val="center"/>
        <w:ind w:right="-59"/>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0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N/A</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09"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71"/>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1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EYE</w:t>
            </w:r>
          </w:p>
        </w:tc>
        <w:tc>
          <w:tcPr>
            <w:tcW w:w="1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766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25400"/>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July 20, 2023, National Vision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received a notice of non-renewal from Walmart Inc. (“</w:t>
      </w:r>
      <w:r>
        <w:rPr>
          <w:rFonts w:ascii="Arial" w:cs="Arial" w:eastAsia="Arial" w:hAnsi="Arial"/>
          <w:sz w:val="17"/>
          <w:szCs w:val="17"/>
          <w:u w:val="single" w:color="auto"/>
          <w:color w:val="auto"/>
        </w:rPr>
        <w:t>Walmart</w:t>
      </w:r>
      <w:r>
        <w:rPr>
          <w:rFonts w:ascii="Arial" w:cs="Arial" w:eastAsia="Arial" w:hAnsi="Arial"/>
          <w:sz w:val="17"/>
          <w:szCs w:val="17"/>
          <w:color w:val="auto"/>
        </w:rPr>
        <w:t>”) of the Management &amp; Services Agreement by and between National Vision, Inc. (“</w:t>
      </w:r>
      <w:r>
        <w:rPr>
          <w:rFonts w:ascii="Arial" w:cs="Arial" w:eastAsia="Arial" w:hAnsi="Arial"/>
          <w:sz w:val="17"/>
          <w:szCs w:val="17"/>
          <w:u w:val="single" w:color="auto"/>
          <w:color w:val="auto"/>
        </w:rPr>
        <w:t>NVI</w:t>
      </w:r>
      <w:r>
        <w:rPr>
          <w:rFonts w:ascii="Arial" w:cs="Arial" w:eastAsia="Arial" w:hAnsi="Arial"/>
          <w:sz w:val="17"/>
          <w:szCs w:val="17"/>
          <w:color w:val="auto"/>
        </w:rPr>
        <w:t>”) and Walmart, dated as of May 1, 2012 (as amended, supplemented or otherwise modified from time to time, the “</w:t>
      </w:r>
      <w:r>
        <w:rPr>
          <w:rFonts w:ascii="Arial" w:cs="Arial" w:eastAsia="Arial" w:hAnsi="Arial"/>
          <w:sz w:val="17"/>
          <w:szCs w:val="17"/>
          <w:u w:val="single" w:color="auto"/>
          <w:color w:val="auto"/>
        </w:rPr>
        <w:t>Walmart MSA</w:t>
      </w:r>
      <w:r>
        <w:rPr>
          <w:rFonts w:ascii="Arial" w:cs="Arial" w:eastAsia="Arial" w:hAnsi="Arial"/>
          <w:sz w:val="17"/>
          <w:szCs w:val="17"/>
          <w:color w:val="auto"/>
        </w:rPr>
        <w:t>”). In accordance with the terms of the Walmart MSA and the notice, the agreement will terminate as of February 23, 2024, unless an alternate date is agreed by the parties (the “</w:t>
      </w:r>
      <w:r>
        <w:rPr>
          <w:rFonts w:ascii="Arial" w:cs="Arial" w:eastAsia="Arial" w:hAnsi="Arial"/>
          <w:sz w:val="17"/>
          <w:szCs w:val="17"/>
          <w:u w:val="single" w:color="auto"/>
          <w:color w:val="auto"/>
        </w:rPr>
        <w:t>Termination Date</w:t>
      </w:r>
      <w:r>
        <w:rPr>
          <w:rFonts w:ascii="Arial" w:cs="Arial" w:eastAsia="Arial" w:hAnsi="Arial"/>
          <w:sz w:val="17"/>
          <w:szCs w:val="17"/>
          <w:color w:val="auto"/>
          <w:highlight w:val="white"/>
        </w:rPr>
        <w:t>”). In connection with the termination of the</w:t>
      </w:r>
      <w:r>
        <w:rPr>
          <w:rFonts w:ascii="Arial" w:cs="Arial" w:eastAsia="Arial" w:hAnsi="Arial"/>
          <w:sz w:val="17"/>
          <w:szCs w:val="17"/>
          <w:color w:val="auto"/>
        </w:rPr>
        <w:t xml:space="preserve"> Walmart MSA, that certain Amended and Restated Supplier Agreement between NVI and Walmart, dated as of January 17, 2017 (the “</w:t>
      </w:r>
      <w:r>
        <w:rPr>
          <w:rFonts w:ascii="Arial" w:cs="Arial" w:eastAsia="Arial" w:hAnsi="Arial"/>
          <w:sz w:val="17"/>
          <w:szCs w:val="17"/>
          <w:u w:val="single" w:color="auto"/>
          <w:color w:val="auto"/>
        </w:rPr>
        <w:t>Walmart Supplier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highlight w:val="white"/>
        </w:rPr>
        <w:t>”), and certain other related agreements will also terminate as of the Termination Date.</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Walmart MSA and the Walmart Supplier Agreement, the Company earns management fees for managing the operations of, and supplying inventory and laboratory processing services to, 229 Vision Centers in Walmart retail locations. The Walmart MSA includes provisions governing the transition period and post-termination obligations of the parties.</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termination of the Walmart MSA, the agreement between FirstSight Vision Services, Inc. (“</w:t>
      </w:r>
      <w:r>
        <w:rPr>
          <w:rFonts w:ascii="Arial" w:cs="Arial" w:eastAsia="Arial" w:hAnsi="Arial"/>
          <w:sz w:val="18"/>
          <w:szCs w:val="18"/>
          <w:u w:val="single" w:color="auto"/>
          <w:color w:val="auto"/>
        </w:rPr>
        <w:t>FirstSight</w:t>
      </w:r>
      <w:r>
        <w:rPr>
          <w:rFonts w:ascii="Arial" w:cs="Arial" w:eastAsia="Arial" w:hAnsi="Arial"/>
          <w:sz w:val="18"/>
          <w:szCs w:val="18"/>
          <w:color w:val="auto"/>
        </w:rPr>
        <w:t>”), a wholly-owned subsidiary of the Company, and Walmart, which arranges for the provision by FirstSight of optometric services at optometric offices next to certain Walmart stores throughout California, will also terminate as of the Termination Date. Additionally, another wholly-owned subsidiary of the Company, Arlington Contacts Lens Service, Inc. (“</w:t>
      </w:r>
      <w:r>
        <w:rPr>
          <w:rFonts w:ascii="Arial" w:cs="Arial" w:eastAsia="Arial" w:hAnsi="Arial"/>
          <w:sz w:val="18"/>
          <w:szCs w:val="18"/>
          <w:u w:val="single" w:color="auto"/>
          <w:color w:val="auto"/>
        </w:rPr>
        <w:t>AC Lens</w:t>
      </w:r>
      <w:r>
        <w:rPr>
          <w:rFonts w:ascii="Arial" w:cs="Arial" w:eastAsia="Arial" w:hAnsi="Arial"/>
          <w:sz w:val="18"/>
          <w:szCs w:val="18"/>
          <w:color w:val="auto"/>
          <w:highlight w:val="white"/>
        </w:rPr>
        <w:t>”), has delivered notices of non-renewal of the agreements it has with Walmart and its affiliate Sam’s Club</w:t>
      </w:r>
      <w:r>
        <w:rPr>
          <w:rFonts w:ascii="Arial" w:cs="Arial" w:eastAsia="Arial" w:hAnsi="Arial"/>
          <w:sz w:val="18"/>
          <w:szCs w:val="18"/>
          <w:color w:val="auto"/>
        </w:rPr>
        <w:t xml:space="preserve"> regarding wholesale contact lenses distribution and related services, such that these agreements will terminate as of June 30, 2024, unless an earlier date is agreed by the parties.</w:t>
      </w:r>
    </w:p>
    <w:p>
      <w:pPr>
        <w:spacing w:after="0" w:line="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copy of the Walmart MSA was filed as Exhibit 10.31 to the Company’s Form S-1 Registration Statement filed on October 16, 2017. The Letter Agreement by and between National Vision, Inc. and Wal-Mart Stores, Inc. re: Management &amp; Services Agreement, dated as of January 11, 2017, Amendment 3 and Amendment 4 to the Walmart MSA were filed as Exhibit 10.32 to the Company’s Form S-1 Registration Statement filed on September 29, 2017, Exhibit 10.1 to the Company’s Current Report on Form 8-K filed on January 22, 2020 and Exhibit 10.1 to the Company’s Current Report on Form 8-K filed on July 20, 2020, respectively. The Walmart Supplier Agreement was filed as Exhibit 10.33 to the Company’s Form S-1 Registration Statement filed on September 29, 2017. The above description of the Walmart MSA and Walmart Supplier Agreement is qualified in its entirety by reference to such exhibits.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7.01 is incorporated herein by reference.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26, 2023, the Company issued a press release related to the matter described in Item 1.02 above, along with preliminary results for its second fiscal quarter of 2023, and a reaffirmation of its expected results for full year 2023 and certain other matters. A copy of the press release is furnished as Exhibit 99.1 hereto.</w:t>
      </w:r>
    </w:p>
    <w:p>
      <w:pPr>
        <w:spacing w:after="0" w:line="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in Items 2.02 and 7.01 of this Current Report on Form 8-K, including Exhibit 99.1, is being furnished to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highlight w:val="white"/>
        </w:rPr>
        <w:t>”) pursuant to Items 2.02 and 7.01 of Form 8-K and shall not be deemed to be “filed” for purposes of Section 18 of the</w:t>
      </w:r>
      <w:r>
        <w:rPr>
          <w:rFonts w:ascii="Arial" w:cs="Arial" w:eastAsia="Arial" w:hAnsi="Arial"/>
          <w:sz w:val="18"/>
          <w:szCs w:val="18"/>
          <w:color w:val="auto"/>
        </w:rPr>
        <w:t xml:space="preserv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deemed incorporated by reference into any of National Vision’s filings with the SEC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highlight w:val="white"/>
        </w:rPr>
        <w:t>”), or the</w:t>
      </w:r>
      <w:r>
        <w:rPr>
          <w:rFonts w:ascii="Arial" w:cs="Arial" w:eastAsia="Arial" w:hAnsi="Arial"/>
          <w:sz w:val="18"/>
          <w:szCs w:val="18"/>
          <w:color w:val="auto"/>
        </w:rPr>
        <w:t xml:space="preserve"> Exchange Act, except as shall be expressly set forth by specific reference in such a filing.</w:t>
      </w:r>
    </w:p>
    <w:p>
      <w:pPr>
        <w:spacing w:after="0" w:line="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This Form 8-K and the attached exhibit contain forward-looking statements within the meaning of Section 27A of the Securities Act and Section 21E of the Exchange Act. These statements include, but are not limited to, statements related to our current beliefs and expectations regarding the Company’s strategic direction, market position, prospects and future results. You can identify these forward-looking statements by the use of words such as “preliminary,” “guidance,” "outlook,"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and in subsequent filings by National Vision with the SEC. Potential risks and uncertainties include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both"/>
        <w:spacing w:after="0" w:line="271" w:lineRule="auto"/>
        <w:rPr>
          <w:sz w:val="20"/>
          <w:szCs w:val="20"/>
          <w:color w:val="auto"/>
        </w:rPr>
      </w:pPr>
      <w:r>
        <w:rPr>
          <w:rFonts w:ascii="Arial" w:cs="Arial" w:eastAsia="Arial" w:hAnsi="Arial"/>
          <w:sz w:val="17"/>
          <w:szCs w:val="17"/>
          <w:i w:val="1"/>
          <w:iCs w:val="1"/>
          <w:color w:val="auto"/>
        </w:rPr>
        <w:t>relating to our ability to recruit and retain vision care professionals, management and retail associates, our ability to compete for managed vision care contracts, our ability to obtain favorable terms, such as discounts and rebates, from optical vendors and generate cash to fund our business and service our debt obligations, and our ability to replace lost Walmart locations with new America’s Best or Eyeglass World stores and support the carrying value of the intangible assets at these brands or replace the lost revenues and cash flows. Additional information about these and other factors that could cause National Vision’s results to differ materially from those described in the forward-looking statements can be found in filings by National Vision with the SEC, including our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Form 8-K, attached exhibit and in our filings with the SEC.</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94"/>
              </w:rPr>
              <w:t>Exhibit No.</w:t>
            </w:r>
          </w:p>
        </w:tc>
        <w:tc>
          <w:tcPr>
            <w:tcW w:w="720" w:type="dxa"/>
            <w:vAlign w:val="bottom"/>
          </w:tcPr>
          <w:p>
            <w:pPr>
              <w:spacing w:after="0"/>
              <w:rPr>
                <w:sz w:val="17"/>
                <w:szCs w:val="17"/>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Borders>
              <w:bottom w:val="single" w:sz="8" w:color="0E32E1"/>
            </w:tcBorders>
          </w:tcPr>
          <w:p>
            <w:pPr>
              <w:spacing w:after="0"/>
              <w:rPr>
                <w:sz w:val="20"/>
                <w:szCs w:val="20"/>
                <w:color w:val="auto"/>
              </w:rPr>
            </w:pPr>
            <w:r>
              <w:rPr>
                <w:rFonts w:ascii="Arial" w:cs="Arial" w:eastAsia="Arial" w:hAnsi="Arial"/>
                <w:sz w:val="18"/>
                <w:szCs w:val="18"/>
                <w:color w:val="0E32E1"/>
                <w:w w:val="85"/>
              </w:rPr>
              <w:t>99.</w:t>
            </w:r>
            <w:r>
              <w:rPr>
                <w:rFonts w:ascii="Arial" w:cs="Arial" w:eastAsia="Arial" w:hAnsi="Arial"/>
                <w:sz w:val="18"/>
                <w:szCs w:val="18"/>
                <w:u w:val="single" w:color="auto"/>
                <w:color w:val="0E32E1"/>
                <w:w w:val="85"/>
              </w:rPr>
              <w:t>1</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Press Release dated July 26, 2023.</w:t>
            </w:r>
          </w:p>
        </w:tc>
      </w:tr>
      <w:tr>
        <w:trPr>
          <w:trHeight w:val="277"/>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4"/>
                <w:szCs w:val="24"/>
                <w:color w:val="auto"/>
              </w:rPr>
            </w:pPr>
          </w:p>
        </w:tc>
        <w:tc>
          <w:tcPr>
            <w:tcW w:w="10380" w:type="dxa"/>
            <w:vAlign w:val="bottom"/>
            <w:gridSpan w:val="3"/>
          </w:tcPr>
          <w:p>
            <w:pPr>
              <w:ind w:left="7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93"/>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2800" w:type="dxa"/>
            <w:vAlign w:val="bottom"/>
          </w:tcPr>
          <w:p>
            <w:pPr>
              <w:spacing w:after="0"/>
              <w:rPr>
                <w:sz w:val="20"/>
                <w:szCs w:val="20"/>
                <w:color w:val="auto"/>
              </w:rPr>
            </w:pPr>
            <w:r>
              <w:rPr>
                <w:rFonts w:ascii="Arial" w:cs="Arial" w:eastAsia="Arial" w:hAnsi="Arial"/>
                <w:sz w:val="18"/>
                <w:szCs w:val="18"/>
                <w:color w:val="auto"/>
              </w:rPr>
              <w:t>Date: July 26, 2023</w:t>
            </w:r>
          </w:p>
        </w:tc>
        <w:tc>
          <w:tcPr>
            <w:tcW w:w="2800" w:type="dxa"/>
            <w:vAlign w:val="bottom"/>
          </w:tcPr>
          <w:p>
            <w:pPr>
              <w:ind w:left="14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Brandman</w:t>
            </w:r>
          </w:p>
        </w:tc>
      </w:tr>
      <w:tr>
        <w:trPr>
          <w:trHeight w:val="224"/>
        </w:trPr>
        <w:tc>
          <w:tcPr>
            <w:tcW w:w="2800" w:type="dxa"/>
            <w:vAlign w:val="bottom"/>
          </w:tcPr>
          <w:p>
            <w:pPr>
              <w:spacing w:after="0"/>
              <w:rPr>
                <w:sz w:val="19"/>
                <w:szCs w:val="19"/>
                <w:color w:val="auto"/>
              </w:rPr>
            </w:pPr>
          </w:p>
        </w:tc>
        <w:tc>
          <w:tcPr>
            <w:tcW w:w="2800" w:type="dxa"/>
            <w:vAlign w:val="bottom"/>
          </w:tcPr>
          <w:p>
            <w:pPr>
              <w:ind w:left="1400"/>
              <w:spacing w:after="0"/>
              <w:rPr>
                <w:sz w:val="20"/>
                <w:szCs w:val="20"/>
                <w:color w:val="auto"/>
              </w:rPr>
            </w:pPr>
            <w:r>
              <w:rPr>
                <w:rFonts w:ascii="Arial" w:cs="Arial" w:eastAsia="Arial" w:hAnsi="Arial"/>
                <w:sz w:val="18"/>
                <w:szCs w:val="18"/>
                <w:color w:val="auto"/>
              </w:rPr>
              <w:t>Name:</w:t>
            </w:r>
          </w:p>
        </w:tc>
        <w:tc>
          <w:tcPr>
            <w:tcW w:w="5240" w:type="dxa"/>
            <w:vAlign w:val="bottom"/>
          </w:tcPr>
          <w:p>
            <w:pPr>
              <w:spacing w:after="0"/>
              <w:rPr>
                <w:sz w:val="20"/>
                <w:szCs w:val="20"/>
                <w:color w:val="auto"/>
              </w:rPr>
            </w:pPr>
            <w:r>
              <w:rPr>
                <w:rFonts w:ascii="Arial" w:cs="Arial" w:eastAsia="Arial" w:hAnsi="Arial"/>
                <w:sz w:val="18"/>
                <w:szCs w:val="18"/>
                <w:color w:val="auto"/>
              </w:rPr>
              <w:t>Jared Brandman</w:t>
            </w:r>
          </w:p>
        </w:tc>
      </w:tr>
      <w:tr>
        <w:trPr>
          <w:trHeight w:val="242"/>
        </w:trPr>
        <w:tc>
          <w:tcPr>
            <w:tcW w:w="2800" w:type="dxa"/>
            <w:vAlign w:val="bottom"/>
          </w:tcPr>
          <w:p>
            <w:pPr>
              <w:spacing w:after="0"/>
              <w:rPr>
                <w:sz w:val="21"/>
                <w:szCs w:val="21"/>
                <w:color w:val="auto"/>
              </w:rPr>
            </w:pPr>
          </w:p>
        </w:tc>
        <w:tc>
          <w:tcPr>
            <w:tcW w:w="2800" w:type="dxa"/>
            <w:vAlign w:val="bottom"/>
          </w:tcPr>
          <w:p>
            <w:pPr>
              <w:ind w:left="1400"/>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40"/>
          </w:cols>
          <w:pgMar w:left="320" w:top="89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690880</wp:posOffset>
            </wp:positionV>
            <wp:extent cx="75438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National Vision Announces Walmart Partnership Ending in 2024</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Positions Company to Enhance Focus on Delivering Further Profitable Growth</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Across Its Remaining Business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Announces Preliminary Second Quarter 2023 Financial Results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and Reaffirms Fiscal 2023 Outlook</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 xml:space="preserve">DULUTH, Ga. – July 26, 2023 – </w:t>
      </w:r>
      <w:r>
        <w:rPr>
          <w:rFonts w:ascii="Arial" w:cs="Arial" w:eastAsia="Arial" w:hAnsi="Arial"/>
          <w:sz w:val="20"/>
          <w:szCs w:val="20"/>
          <w:color w:val="auto"/>
        </w:rPr>
        <w:t>National Vision Holdings, Inc. (NASDAQ: EYE) (“National Vision” or the “Company”), the nation’s</w:t>
      </w:r>
      <w:r>
        <w:rPr>
          <w:rFonts w:ascii="Arial" w:cs="Arial" w:eastAsia="Arial" w:hAnsi="Arial"/>
          <w:sz w:val="20"/>
          <w:szCs w:val="20"/>
          <w:b w:val="1"/>
          <w:bCs w:val="1"/>
          <w:color w:val="auto"/>
        </w:rPr>
        <w:t xml:space="preserve"> </w:t>
      </w:r>
      <w:r>
        <w:rPr>
          <w:rFonts w:ascii="Arial" w:cs="Arial" w:eastAsia="Arial" w:hAnsi="Arial"/>
          <w:sz w:val="20"/>
          <w:szCs w:val="20"/>
          <w:color w:val="auto"/>
        </w:rPr>
        <w:t>second largest optical retailer providing quality, affordable eye care and eyewear, today announced its partnership with Walmart Inc. (“Walmart”) will be ending in 2024. This includes supplying and operating Vision Centers in select Walmart stores, providing contact lens distribution and related services to Walmart and its affiliate, and arranging for the provision of optometric services at certain Walmart locations in California.</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212121"/>
        </w:rPr>
        <w:t>“We value and appreciate the contributions that our partnership with Walmart has had in helping us grow National Vision over the past three decades. With the progression of growth opportunities in our freestanding brands – America’s Best and Eyeglass World, we have become the second largest optical chain in the U.S. and a major force in providing low-cost eye exams, eyeglasses and contact lenses to budget-conscious American families,” said Reade Fahs, chief executive officer of National Vision. “While this decision was not expected, we look forward to beginning a new chapter as a more streamlined company ever more focused on delivering value to our stakeholders through our mission of making eyewear and eye care more affordable and accessible. We are grateful for and thank all our associates and associated optometrists who have been part of our Walmart journey.”</w:t>
      </w:r>
    </w:p>
    <w:p>
      <w:pPr>
        <w:spacing w:after="0" w:line="209"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Fahs continued, “As we look ahead, we remain focused on executing our strategic initiatives and making changes to our cost structure to best align with our go-forward operating model. In addition, we remain focused on returning to a mid-single digit adjusted operating margin.”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On July 20, 2023, Walmart notified National Vision that it is not renewing its agreement for the Company to operate Vision Centers inside select Walmart locations as of February 23, 2024. Walmart also notified FirstSight Vision Services, Inc. (“FirstSight”), a wholly owned subsidiary of National Vision licensed as a single-service health plan in California, that as of February 23, 2024, it is ending the relationship whereby FirstSight arranges for the provision of optometric services at offices next to certain Walmart stores in California. In connection with these non-renewals, Arlington Contacts Lens Service, Inc. (“AC Lens”), National Vision’s wholly owned subsidiary, notified Walmart and its affiliate that it is not renewing its agreements for wholesale and e-commerce contact lenses distribution and related services. National Vision expects the AC Lens agreements will terminate on June 30, 2024.</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National Vision’s Legacy segment, which consists of the operations and supply of inventory and laboratory processing services to Vision Centers in select Walmart retail locations, combined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8" w:right="339" w:bottom="1440" w:gutter="0" w:footer="0" w:header="0"/>
        </w:sectPr>
      </w:pPr>
    </w:p>
    <w:bookmarkStart w:id="5" w:name="page6"/>
    <w:bookmarkEnd w:id="5"/>
    <w:p>
      <w:pPr>
        <w:jc w:val="both"/>
        <w:spacing w:after="0" w:line="270" w:lineRule="auto"/>
        <w:rPr>
          <w:sz w:val="20"/>
          <w:szCs w:val="20"/>
          <w:color w:val="auto"/>
        </w:rPr>
      </w:pPr>
      <w:r>
        <w:rPr>
          <w:rFonts w:ascii="Arial" w:cs="Arial" w:eastAsia="Arial" w:hAnsi="Arial"/>
          <w:sz w:val="20"/>
          <w:szCs w:val="20"/>
          <w:color w:val="auto"/>
        </w:rPr>
        <w:t>Company’s wholesale distribution and e-commerce portion of AC Lens tied to Walmart and its affiliate, which is included in its Corporate/Other segment, contributed $348.9 million in net revenue and $15.0 million in Total Consolidated Earnings Before Income Taxes (EBIT) in fiscal 2022. Set forth in the table below is the estimated financial impact from the termination of these businesses based on fiscal 2022 total consolidated results and the Legacy and Corporate/Other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2434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4345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Fiscal Year 2022 - Estimated Financial Impact</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Total Impact from</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780" w:type="dxa"/>
            <w:vAlign w:val="bottom"/>
          </w:tcPr>
          <w:p>
            <w:pPr>
              <w:spacing w:after="0"/>
              <w:rPr>
                <w:sz w:val="15"/>
                <w:szCs w:val="15"/>
                <w:color w:val="auto"/>
              </w:rPr>
            </w:pPr>
          </w:p>
        </w:tc>
        <w:tc>
          <w:tcPr>
            <w:tcW w:w="1600" w:type="dxa"/>
            <w:vAlign w:val="bottom"/>
          </w:tcPr>
          <w:p>
            <w:pPr>
              <w:jc w:val="right"/>
              <w:ind w:right="330"/>
              <w:spacing w:after="0" w:line="176" w:lineRule="exact"/>
              <w:rPr>
                <w:sz w:val="20"/>
                <w:szCs w:val="20"/>
                <w:color w:val="auto"/>
              </w:rPr>
            </w:pPr>
            <w:r>
              <w:rPr>
                <w:rFonts w:ascii="Arial" w:cs="Arial" w:eastAsia="Arial" w:hAnsi="Arial"/>
                <w:sz w:val="18"/>
                <w:szCs w:val="18"/>
                <w:color w:val="auto"/>
                <w:w w:val="97"/>
              </w:rPr>
              <w:t>Reported Total</w:t>
            </w:r>
          </w:p>
        </w:tc>
        <w:tc>
          <w:tcPr>
            <w:tcW w:w="360" w:type="dxa"/>
            <w:vAlign w:val="bottom"/>
          </w:tcPr>
          <w:p>
            <w:pPr>
              <w:spacing w:after="0"/>
              <w:rPr>
                <w:sz w:val="15"/>
                <w:szCs w:val="15"/>
                <w:color w:val="auto"/>
              </w:rPr>
            </w:pPr>
          </w:p>
        </w:tc>
        <w:tc>
          <w:tcPr>
            <w:tcW w:w="1700" w:type="dxa"/>
            <w:vAlign w:val="bottom"/>
          </w:tcPr>
          <w:p>
            <w:pPr>
              <w:jc w:val="right"/>
              <w:ind w:right="330"/>
              <w:spacing w:after="0" w:line="176" w:lineRule="exact"/>
              <w:rPr>
                <w:sz w:val="20"/>
                <w:szCs w:val="20"/>
                <w:color w:val="auto"/>
              </w:rPr>
            </w:pPr>
            <w:r>
              <w:rPr>
                <w:rFonts w:ascii="Arial" w:cs="Arial" w:eastAsia="Arial" w:hAnsi="Arial"/>
                <w:sz w:val="18"/>
                <w:szCs w:val="18"/>
                <w:color w:val="auto"/>
                <w:w w:val="93"/>
              </w:rPr>
              <w:t>Legacy Segment</w:t>
            </w:r>
          </w:p>
        </w:tc>
        <w:tc>
          <w:tcPr>
            <w:tcW w:w="240" w:type="dxa"/>
            <w:vAlign w:val="bottom"/>
          </w:tcPr>
          <w:p>
            <w:pPr>
              <w:spacing w:after="0"/>
              <w:rPr>
                <w:sz w:val="15"/>
                <w:szCs w:val="15"/>
                <w:color w:val="auto"/>
              </w:rPr>
            </w:pPr>
          </w:p>
        </w:tc>
        <w:tc>
          <w:tcPr>
            <w:tcW w:w="1680" w:type="dxa"/>
            <w:vAlign w:val="bottom"/>
          </w:tcPr>
          <w:p>
            <w:pPr>
              <w:jc w:val="right"/>
              <w:ind w:right="310"/>
              <w:spacing w:after="0" w:line="176" w:lineRule="exact"/>
              <w:rPr>
                <w:sz w:val="20"/>
                <w:szCs w:val="20"/>
                <w:color w:val="auto"/>
              </w:rPr>
            </w:pPr>
            <w:r>
              <w:rPr>
                <w:rFonts w:ascii="Arial" w:cs="Arial" w:eastAsia="Arial" w:hAnsi="Arial"/>
                <w:sz w:val="18"/>
                <w:szCs w:val="18"/>
                <w:color w:val="auto"/>
                <w:w w:val="96"/>
              </w:rPr>
              <w:t>Corporate/Other</w:t>
            </w:r>
          </w:p>
        </w:tc>
        <w:tc>
          <w:tcPr>
            <w:tcW w:w="280" w:type="dxa"/>
            <w:vAlign w:val="bottom"/>
          </w:tcPr>
          <w:p>
            <w:pPr>
              <w:spacing w:after="0"/>
              <w:rPr>
                <w:sz w:val="15"/>
                <w:szCs w:val="15"/>
                <w:color w:val="auto"/>
              </w:rPr>
            </w:pPr>
          </w:p>
        </w:tc>
        <w:tc>
          <w:tcPr>
            <w:tcW w:w="160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3"/>
              </w:rPr>
              <w:t>Termination of</w:t>
            </w:r>
          </w:p>
        </w:tc>
        <w:tc>
          <w:tcPr>
            <w:tcW w:w="0" w:type="dxa"/>
            <w:vAlign w:val="bottom"/>
          </w:tcPr>
          <w:p>
            <w:pPr>
              <w:spacing w:after="0"/>
              <w:rPr>
                <w:sz w:val="1"/>
                <w:szCs w:val="1"/>
                <w:color w:val="auto"/>
              </w:rPr>
            </w:pPr>
          </w:p>
        </w:tc>
      </w:tr>
      <w:tr>
        <w:trPr>
          <w:trHeight w:val="229"/>
        </w:trPr>
        <w:tc>
          <w:tcPr>
            <w:tcW w:w="2980" w:type="dxa"/>
            <w:vAlign w:val="bottom"/>
            <w:vMerge w:val="continue"/>
          </w:tcPr>
          <w:p>
            <w:pPr>
              <w:spacing w:after="0"/>
              <w:rPr>
                <w:sz w:val="19"/>
                <w:szCs w:val="19"/>
                <w:color w:val="auto"/>
              </w:rPr>
            </w:pPr>
          </w:p>
        </w:tc>
        <w:tc>
          <w:tcPr>
            <w:tcW w:w="2380" w:type="dxa"/>
            <w:vAlign w:val="bottom"/>
            <w:gridSpan w:val="2"/>
          </w:tcPr>
          <w:p>
            <w:pPr>
              <w:jc w:val="right"/>
              <w:ind w:right="110"/>
              <w:spacing w:after="0"/>
              <w:rPr>
                <w:sz w:val="20"/>
                <w:szCs w:val="20"/>
                <w:color w:val="auto"/>
              </w:rPr>
            </w:pPr>
            <w:r>
              <w:rPr>
                <w:rFonts w:ascii="Arial" w:cs="Arial" w:eastAsia="Arial" w:hAnsi="Arial"/>
                <w:sz w:val="18"/>
                <w:szCs w:val="18"/>
                <w:color w:val="auto"/>
              </w:rPr>
              <w:t>Consolidated Results</w:t>
            </w:r>
          </w:p>
        </w:tc>
        <w:tc>
          <w:tcPr>
            <w:tcW w:w="360" w:type="dxa"/>
            <w:vAlign w:val="bottom"/>
          </w:tcPr>
          <w:p>
            <w:pPr>
              <w:spacing w:after="0"/>
              <w:rPr>
                <w:sz w:val="19"/>
                <w:szCs w:val="19"/>
                <w:color w:val="auto"/>
              </w:rPr>
            </w:pPr>
          </w:p>
        </w:tc>
        <w:tc>
          <w:tcPr>
            <w:tcW w:w="1700" w:type="dxa"/>
            <w:vAlign w:val="bottom"/>
          </w:tcPr>
          <w:p>
            <w:pPr>
              <w:jc w:val="right"/>
              <w:ind w:right="690"/>
              <w:spacing w:after="0"/>
              <w:rPr>
                <w:sz w:val="20"/>
                <w:szCs w:val="20"/>
                <w:color w:val="auto"/>
              </w:rPr>
            </w:pPr>
            <w:r>
              <w:rPr>
                <w:rFonts w:ascii="Arial" w:cs="Arial" w:eastAsia="Arial" w:hAnsi="Arial"/>
                <w:sz w:val="18"/>
                <w:szCs w:val="18"/>
                <w:color w:val="auto"/>
              </w:rPr>
              <w:t>Impact</w:t>
            </w:r>
          </w:p>
        </w:tc>
        <w:tc>
          <w:tcPr>
            <w:tcW w:w="240" w:type="dxa"/>
            <w:vAlign w:val="bottom"/>
          </w:tcPr>
          <w:p>
            <w:pPr>
              <w:spacing w:after="0"/>
              <w:rPr>
                <w:sz w:val="19"/>
                <w:szCs w:val="19"/>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color w:val="auto"/>
                <w:w w:val="95"/>
              </w:rPr>
              <w:t>Segment Impact*</w:t>
            </w: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Walmart Businesses**</w:t>
            </w: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2,005,404</w:t>
            </w:r>
          </w:p>
        </w:tc>
        <w:tc>
          <w:tcPr>
            <w:tcW w:w="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(151,877)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(196,995)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(348,872)</w:t>
            </w:r>
          </w:p>
        </w:tc>
        <w:tc>
          <w:tcPr>
            <w:tcW w:w="0" w:type="dxa"/>
            <w:vAlign w:val="bottom"/>
          </w:tcPr>
          <w:p>
            <w:pPr>
              <w:spacing w:after="0"/>
              <w:rPr>
                <w:sz w:val="1"/>
                <w:szCs w:val="1"/>
                <w:color w:val="auto"/>
              </w:rPr>
            </w:pPr>
          </w:p>
        </w:tc>
      </w:tr>
      <w:tr>
        <w:trPr>
          <w:trHeight w:val="277"/>
        </w:trPr>
        <w:tc>
          <w:tcPr>
            <w:tcW w:w="2980" w:type="dxa"/>
            <w:vAlign w:val="bottom"/>
          </w:tcPr>
          <w:p>
            <w:pPr>
              <w:ind w:left="20"/>
              <w:spacing w:after="0"/>
              <w:rPr>
                <w:sz w:val="20"/>
                <w:szCs w:val="20"/>
                <w:color w:val="auto"/>
              </w:rPr>
            </w:pPr>
            <w:r>
              <w:rPr>
                <w:rFonts w:ascii="Arial" w:cs="Arial" w:eastAsia="Arial" w:hAnsi="Arial"/>
                <w:sz w:val="18"/>
                <w:szCs w:val="18"/>
                <w:color w:val="auto"/>
              </w:rPr>
              <w:t>Total costs applicable to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925,587</w:t>
            </w:r>
          </w:p>
        </w:tc>
        <w:tc>
          <w:tcPr>
            <w:tcW w:w="36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(70,040)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(173,526)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(243,566)</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915,355</w:t>
            </w:r>
          </w:p>
        </w:tc>
        <w:tc>
          <w:tcPr>
            <w:tcW w:w="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(58,217)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(86,487)</w:t>
            </w:r>
          </w:p>
        </w:tc>
        <w:tc>
          <w:tcPr>
            <w:tcW w:w="0" w:type="dxa"/>
            <w:vAlign w:val="bottom"/>
          </w:tcPr>
          <w:p>
            <w:pPr>
              <w:spacing w:after="0"/>
              <w:rPr>
                <w:sz w:val="1"/>
                <w:szCs w:val="1"/>
                <w:color w:val="auto"/>
              </w:rPr>
            </w:pPr>
          </w:p>
        </w:tc>
      </w:tr>
      <w:tr>
        <w:trPr>
          <w:trHeight w:val="324"/>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42,122</w:t>
            </w: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161,231</w:t>
            </w:r>
          </w:p>
        </w:tc>
        <w:tc>
          <w:tcPr>
            <w:tcW w:w="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(23,620)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(18,819)</w:t>
            </w: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99,956</w:t>
            </w:r>
          </w:p>
        </w:tc>
        <w:tc>
          <w:tcPr>
            <w:tcW w:w="3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8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60,813</w:t>
            </w:r>
          </w:p>
        </w:tc>
        <w:tc>
          <w:tcPr>
            <w:tcW w:w="3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20" w:right="240" w:hanging="183"/>
        <w:spacing w:after="0" w:line="293" w:lineRule="auto"/>
        <w:rPr>
          <w:sz w:val="20"/>
          <w:szCs w:val="20"/>
          <w:color w:val="auto"/>
        </w:rPr>
      </w:pPr>
      <w:r>
        <w:rPr>
          <w:rFonts w:ascii="Arial" w:cs="Arial" w:eastAsia="Arial" w:hAnsi="Arial"/>
          <w:sz w:val="16"/>
          <w:szCs w:val="16"/>
          <w:color w:val="auto"/>
        </w:rPr>
        <w:t>* Reflects the estimated total impact of the termination of the Company’s wholesale distribution and e-commerce portion of AC Lens tied to Walmart and its affiliate and does not include FirstSight impacts.</w:t>
      </w:r>
    </w:p>
    <w:p>
      <w:pPr>
        <w:spacing w:after="0" w:line="10" w:lineRule="exact"/>
        <w:rPr>
          <w:sz w:val="20"/>
          <w:szCs w:val="20"/>
          <w:color w:val="auto"/>
        </w:rPr>
      </w:pPr>
    </w:p>
    <w:p>
      <w:pPr>
        <w:ind w:left="220" w:right="460" w:hanging="183"/>
        <w:spacing w:after="0" w:line="293" w:lineRule="auto"/>
        <w:rPr>
          <w:sz w:val="20"/>
          <w:szCs w:val="20"/>
          <w:color w:val="auto"/>
        </w:rPr>
      </w:pPr>
      <w:r>
        <w:rPr>
          <w:rFonts w:ascii="Arial" w:cs="Arial" w:eastAsia="Arial" w:hAnsi="Arial"/>
          <w:sz w:val="16"/>
          <w:szCs w:val="16"/>
          <w:color w:val="auto"/>
        </w:rPr>
        <w:t>**Reflects the estimated total impact of the termination of the Legacy segment and the Company’s wholesale distribution and e-commerce portion of AC Lens tied to Walmart and its affiliate. The estimated total impact does not include FirstSight impacts.</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The Company expects EBITDA contribution from Walmart and its affiliate businesses in fiscal 2023 to be lower than in fiscal 2022.</w:t>
      </w:r>
    </w:p>
    <w:p>
      <w:pPr>
        <w:spacing w:after="0" w:line="281" w:lineRule="exact"/>
        <w:rPr>
          <w:sz w:val="20"/>
          <w:szCs w:val="20"/>
          <w:color w:val="auto"/>
        </w:rPr>
      </w:pPr>
    </w:p>
    <w:p>
      <w:pPr>
        <w:ind w:right="300"/>
        <w:spacing w:after="0" w:line="288" w:lineRule="auto"/>
        <w:rPr>
          <w:sz w:val="20"/>
          <w:szCs w:val="20"/>
          <w:color w:val="auto"/>
        </w:rPr>
      </w:pPr>
      <w:r>
        <w:rPr>
          <w:rFonts w:ascii="Arial" w:cs="Arial" w:eastAsia="Arial" w:hAnsi="Arial"/>
          <w:sz w:val="20"/>
          <w:szCs w:val="20"/>
          <w:color w:val="auto"/>
        </w:rPr>
        <w:t>In connection with the termination of these agreements, the Company expects to record noncash goodwill and intangible asset impairment charges of approximately $60 million and $10 million, respectively, in the third quarter of fiscal 2023.</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Preliminary Financial Results and Fiscal 2023 Outlook</w:t>
      </w:r>
    </w:p>
    <w:p>
      <w:pPr>
        <w:spacing w:after="0" w:line="27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National Vision also announced its preliminary unaudited financial results for the quarter ended July 1, 2023. The Company noted that these preliminary results have been prepared in good faith on a consistent basis with prior periods; however National Vision has not yet completed its financial closing procedures for the quarter ended July 1, 2023, and its actual results are subject to change and could be materially different from this preliminary financial information. Such preliminary information should not be regarded as a representation by National Vision or its management as actual results for the quarter ended July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32" w:right="339" w:bottom="1440" w:gutter="0" w:footer="0" w:header="0"/>
        </w:sectPr>
      </w:pPr>
    </w:p>
    <w:bookmarkStart w:id="6" w:name="page7"/>
    <w:bookmarkEnd w:id="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340" w:type="dxa"/>
            <w:vAlign w:val="bottom"/>
            <w:tcBorders>
              <w:top w:val="single" w:sz="8" w:color="auto"/>
              <w:left w:val="single" w:sz="8" w:color="auto"/>
            </w:tcBorders>
          </w:tcPr>
          <w:p>
            <w:pPr>
              <w:spacing w:after="0"/>
              <w:rPr>
                <w:sz w:val="17"/>
                <w:szCs w:val="17"/>
                <w:color w:val="auto"/>
              </w:rPr>
            </w:pPr>
          </w:p>
        </w:tc>
        <w:tc>
          <w:tcPr>
            <w:tcW w:w="23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Three months ended July 1,</w:t>
            </w:r>
          </w:p>
        </w:tc>
        <w:tc>
          <w:tcPr>
            <w:tcW w:w="10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2"/>
          </w:tcPr>
          <w:p>
            <w:pPr>
              <w:jc w:val="right"/>
              <w:ind w:right="350"/>
              <w:spacing w:after="0" w:line="198" w:lineRule="exact"/>
              <w:rPr>
                <w:sz w:val="20"/>
                <w:szCs w:val="20"/>
                <w:color w:val="auto"/>
              </w:rPr>
            </w:pPr>
            <w:r>
              <w:rPr>
                <w:rFonts w:ascii="Arial" w:cs="Arial" w:eastAsia="Arial" w:hAnsi="Arial"/>
                <w:sz w:val="18"/>
                <w:szCs w:val="18"/>
                <w:b w:val="1"/>
                <w:bCs w:val="1"/>
                <w:color w:val="auto"/>
                <w:w w:val="91"/>
              </w:rPr>
              <w:t>Three months ended July 2,</w:t>
            </w:r>
          </w:p>
        </w:tc>
        <w:tc>
          <w:tcPr>
            <w:tcW w:w="1700" w:type="dxa"/>
            <w:vAlign w:val="bottom"/>
            <w:tcBorders>
              <w:top w:val="single" w:sz="8" w:color="auto"/>
              <w:right w:val="single" w:sz="8" w:color="auto"/>
            </w:tcBorders>
          </w:tcPr>
          <w:p>
            <w:pPr>
              <w:jc w:val="right"/>
              <w:ind w:right="650"/>
              <w:spacing w:after="0" w:line="198" w:lineRule="exact"/>
              <w:rPr>
                <w:sz w:val="20"/>
                <w:szCs w:val="20"/>
                <w:color w:val="auto"/>
              </w:rPr>
            </w:pPr>
            <w:r>
              <w:rPr>
                <w:rFonts w:ascii="Arial" w:cs="Arial" w:eastAsia="Arial" w:hAnsi="Arial"/>
                <w:sz w:val="18"/>
                <w:szCs w:val="18"/>
                <w:b w:val="1"/>
                <w:bCs w:val="1"/>
                <w:color w:val="auto"/>
              </w:rPr>
              <w:t>Change</w:t>
            </w:r>
          </w:p>
        </w:tc>
      </w:tr>
      <w:tr>
        <w:trPr>
          <w:trHeight w:val="255"/>
        </w:trPr>
        <w:tc>
          <w:tcPr>
            <w:tcW w:w="434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6"/>
                <w:szCs w:val="16"/>
                <w:i w:val="1"/>
                <w:iCs w:val="1"/>
                <w:color w:val="auto"/>
              </w:rPr>
              <w:t>$ in thousands, except per share amounts</w:t>
            </w:r>
          </w:p>
        </w:tc>
        <w:tc>
          <w:tcPr>
            <w:tcW w:w="5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2022</w:t>
            </w:r>
          </w:p>
        </w:tc>
        <w:tc>
          <w:tcPr>
            <w:tcW w:w="1700" w:type="dxa"/>
            <w:vAlign w:val="bottom"/>
            <w:tcBorders>
              <w:bottom w:val="single" w:sz="8" w:color="auto"/>
              <w:right w:val="single" w:sz="8" w:color="auto"/>
            </w:tcBorders>
          </w:tcPr>
          <w:p>
            <w:pPr>
              <w:spacing w:after="0"/>
              <w:rPr>
                <w:sz w:val="22"/>
                <w:szCs w:val="22"/>
                <w:color w:val="auto"/>
              </w:rPr>
            </w:pPr>
          </w:p>
        </w:tc>
      </w:tr>
      <w:tr>
        <w:trPr>
          <w:trHeight w:val="243"/>
        </w:trPr>
        <w:tc>
          <w:tcPr>
            <w:tcW w:w="43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525,340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509,555</w:t>
            </w:r>
          </w:p>
        </w:tc>
        <w:tc>
          <w:tcPr>
            <w:tcW w:w="1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37"/>
        </w:trPr>
        <w:tc>
          <w:tcPr>
            <w:tcW w:w="43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Comparable store sales growth</w:t>
            </w:r>
          </w:p>
        </w:tc>
        <w:tc>
          <w:tcPr>
            <w:tcW w:w="5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00" w:type="dxa"/>
            <w:vAlign w:val="bottom"/>
          </w:tcPr>
          <w:p>
            <w:pPr>
              <w:jc w:val="right"/>
              <w:ind w:right="290"/>
              <w:spacing w:after="0"/>
              <w:rPr>
                <w:sz w:val="20"/>
                <w:szCs w:val="20"/>
                <w:color w:val="auto"/>
              </w:rPr>
            </w:pPr>
            <w:r>
              <w:rPr>
                <w:rFonts w:ascii="Arial" w:cs="Arial" w:eastAsia="Arial" w:hAnsi="Arial"/>
                <w:sz w:val="18"/>
                <w:szCs w:val="18"/>
                <w:color w:val="auto"/>
              </w:rPr>
              <w:t>(11.0)%</w:t>
            </w:r>
          </w:p>
        </w:tc>
        <w:tc>
          <w:tcPr>
            <w:tcW w:w="1700" w:type="dxa"/>
            <w:vAlign w:val="bottom"/>
            <w:tcBorders>
              <w:right w:val="single" w:sz="8" w:color="auto"/>
            </w:tcBorders>
          </w:tcPr>
          <w:p>
            <w:pPr>
              <w:spacing w:after="0"/>
              <w:rPr>
                <w:sz w:val="20"/>
                <w:szCs w:val="20"/>
                <w:color w:val="auto"/>
              </w:rPr>
            </w:pPr>
          </w:p>
        </w:tc>
      </w:tr>
      <w:tr>
        <w:trPr>
          <w:trHeight w:val="249"/>
        </w:trPr>
        <w:tc>
          <w:tcPr>
            <w:tcW w:w="43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Adjusted Comparable Store Sales Growth</w:t>
            </w: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(12.4)%</w:t>
            </w:r>
          </w:p>
        </w:tc>
        <w:tc>
          <w:tcPr>
            <w:tcW w:w="1700" w:type="dxa"/>
            <w:vAlign w:val="bottom"/>
            <w:tcBorders>
              <w:right w:val="single" w:sz="8" w:color="auto"/>
            </w:tcBorders>
            <w:shd w:val="clear" w:color="auto" w:fill="CCEEFF"/>
          </w:tcPr>
          <w:p>
            <w:pPr>
              <w:spacing w:after="0"/>
              <w:rPr>
                <w:sz w:val="21"/>
                <w:szCs w:val="21"/>
                <w:color w:val="auto"/>
              </w:rPr>
            </w:pPr>
          </w:p>
        </w:tc>
      </w:tr>
      <w:tr>
        <w:trPr>
          <w:trHeight w:val="230"/>
        </w:trPr>
        <w:tc>
          <w:tcPr>
            <w:tcW w:w="43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Stores opened</w:t>
            </w:r>
          </w:p>
        </w:tc>
        <w:tc>
          <w:tcPr>
            <w:tcW w:w="54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22</w:t>
            </w:r>
          </w:p>
        </w:tc>
        <w:tc>
          <w:tcPr>
            <w:tcW w:w="1700" w:type="dxa"/>
            <w:vAlign w:val="bottom"/>
            <w:tcBorders>
              <w:right w:val="single" w:sz="8" w:color="auto"/>
            </w:tcBorders>
          </w:tcPr>
          <w:p>
            <w:pPr>
              <w:spacing w:after="0"/>
              <w:rPr>
                <w:sz w:val="20"/>
                <w:szCs w:val="20"/>
                <w:color w:val="auto"/>
              </w:rPr>
            </w:pPr>
          </w:p>
        </w:tc>
      </w:tr>
      <w:tr>
        <w:trPr>
          <w:trHeight w:val="26"/>
        </w:trPr>
        <w:tc>
          <w:tcPr>
            <w:tcW w:w="434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r>
      <w:tr>
        <w:trPr>
          <w:trHeight w:val="243"/>
        </w:trPr>
        <w:tc>
          <w:tcPr>
            <w:tcW w:w="43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Stores closed</w:t>
            </w: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shd w:val="clear" w:color="auto" w:fill="CCEEFF"/>
          </w:tcPr>
          <w:p>
            <w:pPr>
              <w:spacing w:after="0"/>
              <w:rPr>
                <w:sz w:val="21"/>
                <w:szCs w:val="21"/>
                <w:color w:val="auto"/>
              </w:rPr>
            </w:pPr>
          </w:p>
        </w:tc>
      </w:tr>
      <w:tr>
        <w:trPr>
          <w:trHeight w:val="237"/>
        </w:trPr>
        <w:tc>
          <w:tcPr>
            <w:tcW w:w="43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Ending store count</w:t>
            </w:r>
          </w:p>
        </w:tc>
        <w:tc>
          <w:tcPr>
            <w:tcW w:w="54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1,314</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5.1 %</w:t>
            </w:r>
          </w:p>
        </w:tc>
      </w:tr>
      <w:tr>
        <w:trPr>
          <w:trHeight w:val="249"/>
        </w:trPr>
        <w:tc>
          <w:tcPr>
            <w:tcW w:w="43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5,614</w:t>
            </w: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9,734</w:t>
            </w:r>
          </w:p>
        </w:tc>
        <w:tc>
          <w:tcPr>
            <w:tcW w:w="1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43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Diluted EPS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0.07</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0.12</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6"/>
        </w:trPr>
        <w:tc>
          <w:tcPr>
            <w:tcW w:w="434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r>
      <w:tr>
        <w:trPr>
          <w:trHeight w:val="243"/>
        </w:trPr>
        <w:tc>
          <w:tcPr>
            <w:tcW w:w="43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16,448</w:t>
            </w: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27,780</w:t>
            </w:r>
          </w:p>
        </w:tc>
        <w:tc>
          <w:tcPr>
            <w:tcW w:w="1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Adjusted Diluted EPS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0.17</w:t>
            </w:r>
          </w:p>
        </w:tc>
        <w:tc>
          <w:tcPr>
            <w:tcW w:w="6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0.21</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(19.1)%</w:t>
            </w:r>
          </w:p>
        </w:tc>
      </w:tr>
    </w:tbl>
    <w:p>
      <w:pPr>
        <w:spacing w:after="0" w:line="33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National Vision noted that its fiscal 2023 second quarter performance was largely in line with its expectations and driven primarily by continued strength from its managed care business and ongoing execution of its strategic initiatives. The year-over-year change in Adjusted Operating Income was primarily driven by the Company’s ongoing investments in strategic initiatives and the normalization of incentive compensation, as the Company expected, partially offset by the timing of certain selling, general and administrative expense as well as lower depreciation expense in the quarter.</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1D1C1D"/>
        </w:rPr>
        <w:t>The Company also today reaffirmed its fiscal 2023 outlook as previously communicated on May 11, 2023, and, given its year-to-date performance, the Company expects Adjusted Operating Income and Adjusted Diluted Earnings Per Share (EPS) to be at or above the midpoint of its previously provided guidance ranges.</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information provided above includes preliminary estimates of Adjusted Operating Income and Adjusted Diluted EPS, which are non-GAAP financial measures management uses in measuring performance.</w:t>
      </w:r>
    </w:p>
    <w:p>
      <w:pPr>
        <w:spacing w:after="0" w:line="20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Additionally, the fiscal 2023 outlook is forward-looking, subject to significant business, economic, regulatory and competitive uncertainties and contingencies, including constraints on exam capacity, many of which are beyond the control of the Company and its management, and based upon assumptions with respect to future decisions, which are subject to change. The ultimate impact of these factors on the Company’s financial outlook remains uncertain and assumes no material deterioration to the Company’s current business operations as a result of such factors or as a result of the end of the Walmart partnership. Actual results may vary and those variations may be material. As such, the Company’s results may not fall within the ranges contained in its fiscal 2023 outlook. The Company uses these forward-looking measures internally to assess and benchmark its results and strategic plans. See “Forward-Looking Statements” below.</w:t>
      </w:r>
    </w:p>
    <w:p>
      <w:pPr>
        <w:spacing w:after="0" w:line="200"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 xml:space="preserve">The Company expects to provide more detail on its second quarter 2023 financial results and fiscal-year 2023 outlook on its upcoming conference call on August 10, 2023, at 8:30 a.m. Eastern Time. To pre-register for the conference call and obtain a dial-in number and passcode please refer to the “Investors” section of the Company’s website at </w:t>
      </w:r>
      <w:r>
        <w:rPr>
          <w:rFonts w:ascii="Arial" w:cs="Arial" w:eastAsia="Arial" w:hAnsi="Arial"/>
          <w:sz w:val="18"/>
          <w:szCs w:val="18"/>
          <w:u w:val="single" w:color="auto"/>
          <w:color w:val="0563C1"/>
        </w:rPr>
        <w:t>www.nationalvision.com/investors</w:t>
      </w:r>
      <w:r>
        <w:rPr>
          <w:rFonts w:ascii="Arial" w:cs="Arial" w:eastAsia="Arial" w:hAnsi="Arial"/>
          <w:sz w:val="18"/>
          <w:szCs w:val="18"/>
          <w:color w:val="auto"/>
        </w:rPr>
        <w:t>. A live audio webcast of the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78" w:lineRule="auto"/>
        <w:rPr>
          <w:sz w:val="20"/>
          <w:szCs w:val="20"/>
          <w:color w:val="auto"/>
        </w:rPr>
      </w:pPr>
      <w:r>
        <w:rPr>
          <w:rFonts w:ascii="Arial" w:cs="Arial" w:eastAsia="Arial" w:hAnsi="Arial"/>
          <w:sz w:val="20"/>
          <w:szCs w:val="20"/>
          <w:color w:val="auto"/>
        </w:rPr>
        <w:t xml:space="preserve">conference call will be available in the “Investors” section of the Company’s website at </w:t>
      </w:r>
      <w:r>
        <w:rPr>
          <w:rFonts w:ascii="Arial" w:cs="Arial" w:eastAsia="Arial" w:hAnsi="Arial"/>
          <w:sz w:val="20"/>
          <w:szCs w:val="20"/>
          <w:u w:val="single" w:color="auto"/>
          <w:color w:val="0563C1"/>
        </w:rPr>
        <w:t>www.nationalvision.com/investors</w:t>
      </w:r>
      <w:r>
        <w:rPr>
          <w:rFonts w:ascii="Arial" w:cs="Arial" w:eastAsia="Arial" w:hAnsi="Arial"/>
          <w:sz w:val="20"/>
          <w:szCs w:val="20"/>
          <w:color w:val="auto"/>
        </w:rPr>
        <w:t>, where presentation materials will be posted prior to the conference call. A replay of the audio webcast will also be archived on the “Investors” section of the Company’s website.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National Vision Holdings, Inc.</w:t>
      </w:r>
    </w:p>
    <w:p>
      <w:pPr>
        <w:spacing w:after="0" w:line="27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National Vision Holdings, Inc. (NASDAQ: EYE) is the second largest optical retail company (by sales) in the United States with over 1,300 stores in 44 states and Puerto Rico. With a mission of helping people by making quality eye care and eyewear more affordable and accessible, the company operates five retail brands: </w:t>
      </w:r>
      <w:r>
        <w:rPr>
          <w:rFonts w:ascii="Arial" w:cs="Arial" w:eastAsia="Arial" w:hAnsi="Arial"/>
          <w:sz w:val="20"/>
          <w:szCs w:val="20"/>
          <w:u w:val="single" w:color="auto"/>
          <w:color w:val="0563C1"/>
        </w:rPr>
        <w:t>America’s Best Contacts &amp; Eyeglasses</w:t>
      </w:r>
      <w:r>
        <w:rPr>
          <w:rFonts w:ascii="Arial" w:cs="Arial" w:eastAsia="Arial" w:hAnsi="Arial"/>
          <w:sz w:val="20"/>
          <w:szCs w:val="20"/>
          <w:color w:val="auto"/>
        </w:rPr>
        <w:t xml:space="preserve">, </w:t>
      </w:r>
      <w:r>
        <w:rPr>
          <w:rFonts w:ascii="Arial" w:cs="Arial" w:eastAsia="Arial" w:hAnsi="Arial"/>
          <w:sz w:val="20"/>
          <w:szCs w:val="20"/>
          <w:u w:val="single" w:color="auto"/>
          <w:color w:val="0563C1"/>
        </w:rPr>
        <w:t>Eyeglass World</w:t>
      </w:r>
      <w:r>
        <w:rPr>
          <w:rFonts w:ascii="Arial" w:cs="Arial" w:eastAsia="Arial" w:hAnsi="Arial"/>
          <w:sz w:val="20"/>
          <w:szCs w:val="20"/>
          <w:color w:val="auto"/>
        </w:rPr>
        <w:t xml:space="preserve">, </w:t>
      </w:r>
      <w:r>
        <w:rPr>
          <w:rFonts w:ascii="Arial" w:cs="Arial" w:eastAsia="Arial" w:hAnsi="Arial"/>
          <w:sz w:val="20"/>
          <w:szCs w:val="20"/>
          <w:u w:val="single" w:color="auto"/>
          <w:color w:val="0563C1"/>
        </w:rPr>
        <w:t>Vision Centers</w:t>
      </w:r>
      <w:r>
        <w:rPr>
          <w:rFonts w:ascii="Arial" w:cs="Arial" w:eastAsia="Arial" w:hAnsi="Arial"/>
          <w:sz w:val="20"/>
          <w:szCs w:val="20"/>
          <w:color w:val="auto"/>
        </w:rPr>
        <w:t xml:space="preserve"> inside select Walmart stores, and Vista Opticals inside </w:t>
      </w:r>
      <w:r>
        <w:rPr>
          <w:rFonts w:ascii="Arial" w:cs="Arial" w:eastAsia="Arial" w:hAnsi="Arial"/>
          <w:sz w:val="20"/>
          <w:szCs w:val="20"/>
          <w:color w:val="0563C1"/>
        </w:rPr>
        <w:t>select Fred Meyer stores</w:t>
      </w:r>
      <w:r>
        <w:rPr>
          <w:rFonts w:ascii="Arial" w:cs="Arial" w:eastAsia="Arial" w:hAnsi="Arial"/>
          <w:sz w:val="20"/>
          <w:szCs w:val="20"/>
          <w:color w:val="auto"/>
        </w:rPr>
        <w:t xml:space="preserve"> and on </w:t>
      </w:r>
      <w:r>
        <w:rPr>
          <w:rFonts w:ascii="Arial" w:cs="Arial" w:eastAsia="Arial" w:hAnsi="Arial"/>
          <w:sz w:val="20"/>
          <w:szCs w:val="20"/>
          <w:color w:val="0563C1"/>
        </w:rPr>
        <w:t>select military bases</w:t>
      </w:r>
      <w:r>
        <w:rPr>
          <w:rFonts w:ascii="Arial" w:cs="Arial" w:eastAsia="Arial" w:hAnsi="Arial"/>
          <w:sz w:val="20"/>
          <w:szCs w:val="20"/>
          <w:color w:val="auto"/>
        </w:rPr>
        <w:t>, and several e-commerce websites, offering a variety of products and services for customers’ eye care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-207010</wp:posOffset>
            </wp:positionV>
            <wp:extent cx="2855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55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please visit </w:t>
      </w:r>
      <w:r>
        <w:rPr>
          <w:rFonts w:ascii="Arial" w:cs="Arial" w:eastAsia="Arial" w:hAnsi="Arial"/>
          <w:sz w:val="20"/>
          <w:szCs w:val="20"/>
          <w:u w:val="single" w:color="auto"/>
          <w:color w:val="0563C1"/>
        </w:rPr>
        <w:t>www.nationalvision.com.</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6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 xml:space="preserve">This press release contains forward-looking statements within the meaning of Section 27A of the Securities Act of 1933, as amended (the “Securities Act”) and Section 21E of the Securities Exchange Act of 1934. These statements include, but are not limited to, statements related These statements include, but are not limited to, statements contained under “Second Quarter 2023 Preliminary Financial Results and Fiscal 2023 Outlook” as well as other statements related to our current beliefs and expectations regarding the Company’s strategic direction, market position, prospects and future results. You can identify these forward-looking statements by the use of words such as “preliminary,” “guidance,” “outlook,”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and in subsequent filings by National Vision with the SEC. Potential risks and uncertainties include those relating to our ability to recruit and retain vision care professionals, management and retail associates, our ability to compete for managed vision care contracts, our ability to obtain favorable terms, such as discounts and rebates, from optical vendors and generate cash to fund our business and service our debt obligations, and our ability to replace lost Walmart locations with new America’s Best or Eyeglass World stores and support the carrying value of the intangible assets at these brands or replace the lost revenues and cash flows. Additional information about these and other factors that could cause National Vision’s results to differ materially from those described in the forward-looking statements can be found in filings by National Vision with the SEC, including our Annual Report on Form 10-K and subsequent Quarterly Reports on Form 10-Q or Current Reports on Form 8-K, which are accessible on the SEC’s website at </w:t>
      </w:r>
      <w:r>
        <w:rPr>
          <w:rFonts w:ascii="Arial" w:cs="Arial" w:eastAsia="Arial" w:hAnsi="Arial"/>
          <w:sz w:val="18"/>
          <w:szCs w:val="18"/>
          <w:u w:val="single" w:color="auto"/>
          <w:color w:val="0563C1"/>
        </w:rPr>
        <w:t>www.sec.gov</w:t>
      </w:r>
      <w:r>
        <w:rPr>
          <w:rFonts w:ascii="Arial" w:cs="Arial" w:eastAsia="Arial" w:hAnsi="Arial"/>
          <w:sz w:val="18"/>
          <w:szCs w:val="18"/>
          <w:color w:val="000000"/>
        </w:rPr>
        <w:t>. These factors should not be construed as exhaustive and should be read in conjunction with the other cautionary statements</w:t>
      </w:r>
      <w:r>
        <w:rPr>
          <w:rFonts w:ascii="Arial" w:cs="Arial" w:eastAsia="Arial" w:hAnsi="Arial"/>
          <w:sz w:val="18"/>
          <w:szCs w:val="18"/>
          <w:color w:val="0563C1"/>
        </w:rPr>
        <w:t xml:space="preserve"> </w:t>
      </w:r>
      <w:r>
        <w:rPr>
          <w:rFonts w:ascii="Arial" w:cs="Arial" w:eastAsia="Arial" w:hAnsi="Arial"/>
          <w:sz w:val="18"/>
          <w:szCs w:val="18"/>
          <w:color w:val="000000"/>
        </w:rPr>
        <w:t>that are included in this press release and in our filings with the SEC.</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32" w:right="339" w:bottom="1440" w:gutter="0" w:footer="0" w:header="0"/>
        </w:sectPr>
      </w:pPr>
    </w:p>
    <w:bookmarkStart w:id="8" w:name="page9"/>
    <w:bookmarkEnd w:id="8"/>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41"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To supplement the Company’s financial information presented in accordance with GAAP and aid understanding of the Company’s business performance, the Company uses certain non-GAAP financial measures, namely “Adjusted Operating Income,” “Adjusted Diluted EPS,” “EBITDA” and “Adjusted Comparable Stores Sales Growth.” We believe Adjusted Operating Income and Adjusted Diluted EPS and EBITDA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1"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i w:val="1"/>
          <w:iCs w:val="1"/>
          <w:color w:val="auto"/>
        </w:rPr>
        <w:t xml:space="preserve">Adjusted Operating Income: </w:t>
      </w:r>
      <w:r>
        <w:rPr>
          <w:rFonts w:ascii="Arial" w:cs="Arial" w:eastAsia="Arial" w:hAnsi="Arial"/>
          <w:sz w:val="20"/>
          <w:szCs w:val="20"/>
          <w:color w:val="auto"/>
        </w:rPr>
        <w:t>We define Adjusted Operating Income as net income, plus interest expense (income), net and income tax</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provision (benefit), further adjusted to exclude stock-based compensation expense, loss on extinguishment of debt, asset impairment, litigation settlement, secondary offering expenses, management realignment expenses, long-term incentive plan expenses, amortization of acquisition intangibles, and certain other expenses.</w:t>
      </w:r>
    </w:p>
    <w:p>
      <w:pPr>
        <w:spacing w:after="0" w:line="8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 xml:space="preserve">Adjusted Diluted EPS: </w:t>
      </w:r>
      <w:r>
        <w:rPr>
          <w:rFonts w:ascii="Arial" w:cs="Arial" w:eastAsia="Arial" w:hAnsi="Arial"/>
          <w:sz w:val="18"/>
          <w:szCs w:val="18"/>
          <w:color w:val="auto"/>
        </w:rPr>
        <w:t>We define Adjusted Diluted EPS as diluted earnings per share, adjusted for the per share impact of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the term loan borrowings, amortization of the conversion feature and deferred financing costs related to the 2025 Notes when not required under U.S. GAAP to be added back for diluted earnings per share, losses (gains) on change in fair value of derivatives, certain other expenses, and tax expense (benefit) from stock-based compensation, less the tax effect of these adjustments.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 xml:space="preserve">EBITDA: </w:t>
      </w:r>
      <w:r>
        <w:rPr>
          <w:rFonts w:ascii="Arial" w:cs="Arial" w:eastAsia="Arial" w:hAnsi="Arial"/>
          <w:sz w:val="20"/>
          <w:szCs w:val="20"/>
          <w:color w:val="auto"/>
        </w:rPr>
        <w:t>We define EBITDA as net income, plus interest expense (income), net, income tax provision (benefit), and depreciation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99" w:lineRule="auto"/>
        <w:rPr>
          <w:sz w:val="20"/>
          <w:szCs w:val="20"/>
          <w:color w:val="auto"/>
        </w:rPr>
      </w:pPr>
      <w:r>
        <w:rPr>
          <w:rFonts w:ascii="Arial" w:cs="Arial" w:eastAsia="Arial" w:hAnsi="Arial"/>
          <w:sz w:val="18"/>
          <w:szCs w:val="18"/>
          <w:b w:val="1"/>
          <w:bCs w:val="1"/>
          <w:i w:val="1"/>
          <w:iCs w:val="1"/>
          <w:color w:val="auto"/>
        </w:rPr>
        <w:t xml:space="preserve">Adjusted Comparable Store Sales Growth: </w:t>
      </w:r>
      <w:r>
        <w:rPr>
          <w:rFonts w:ascii="Arial" w:cs="Arial" w:eastAsia="Arial" w:hAnsi="Arial"/>
          <w:sz w:val="18"/>
          <w:szCs w:val="18"/>
          <w:color w:val="auto"/>
        </w:rPr>
        <w:t>We measure Adjusted Comparable Store Sales Growth as the increase or decrease in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5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Adjusted Operating Income, Adjusted Diluted EPS, EBITDA and Adjusted Comparable Store Sales Growth are not recognized terms under U.S. GAAP and should not be considered as an alternative to net income or the ratio of net income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5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i w:val="1"/>
          <w:iCs w:val="1"/>
          <w:color w:val="auto"/>
        </w:rPr>
        <w:t>Please see “Reconciliation of Non-GAAP to GAAP Financial Measures” below for reconciliations of non-GAAP financial measures used in this release to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3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to GAAP Financial Measures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 Except Earnings Per Share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880" w:type="dxa"/>
            <w:vAlign w:val="bottom"/>
            <w:gridSpan w:val="4"/>
          </w:tcPr>
          <w:p>
            <w:pPr>
              <w:ind w:left="2560"/>
              <w:spacing w:after="0"/>
              <w:rPr>
                <w:sz w:val="20"/>
                <w:szCs w:val="20"/>
                <w:color w:val="auto"/>
              </w:rPr>
            </w:pPr>
            <w:r>
              <w:rPr>
                <w:rFonts w:ascii="Arial" w:cs="Arial" w:eastAsia="Arial" w:hAnsi="Arial"/>
                <w:sz w:val="20"/>
                <w:szCs w:val="20"/>
                <w:b w:val="1"/>
                <w:bCs w:val="1"/>
                <w:color w:val="auto"/>
                <w:w w:val="92"/>
              </w:rPr>
              <w:t>Preliminary Reconciliation of Adjusted Operating Income to Net Income</w:t>
            </w: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9"/>
              </w:rPr>
              <w:t>Three Months Ended</w:t>
            </w:r>
          </w:p>
        </w:tc>
        <w:tc>
          <w:tcPr>
            <w:tcW w:w="30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8"/>
              </w:rPr>
              <w:t>Three Months Ended</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20"/>
                <w:szCs w:val="20"/>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8"/>
              </w:rPr>
              <w:t>July 1, 2023</w:t>
            </w:r>
          </w:p>
        </w:tc>
        <w:tc>
          <w:tcPr>
            <w:tcW w:w="3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90"/>
              </w:rPr>
              <w:t>July 2, 2022</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income</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5,614</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9,734</w:t>
            </w:r>
          </w:p>
        </w:tc>
        <w:tc>
          <w:tcPr>
            <w:tcW w:w="0" w:type="dxa"/>
            <w:vAlign w:val="bottom"/>
          </w:tcPr>
          <w:p>
            <w:pPr>
              <w:spacing w:after="0"/>
              <w:rPr>
                <w:sz w:val="1"/>
                <w:szCs w:val="1"/>
                <w:color w:val="auto"/>
              </w:rPr>
            </w:pPr>
          </w:p>
        </w:tc>
      </w:tr>
      <w:tr>
        <w:trPr>
          <w:trHeight w:val="253"/>
        </w:trPr>
        <w:tc>
          <w:tcPr>
            <w:tcW w:w="5940" w:type="dxa"/>
            <w:vAlign w:val="bottom"/>
          </w:tcPr>
          <w:p>
            <w:pPr>
              <w:ind w:left="20"/>
              <w:spacing w:after="0"/>
              <w:rPr>
                <w:sz w:val="20"/>
                <w:szCs w:val="20"/>
                <w:color w:val="auto"/>
              </w:rPr>
            </w:pPr>
            <w:r>
              <w:rPr>
                <w:rFonts w:ascii="Arial" w:cs="Arial" w:eastAsia="Arial" w:hAnsi="Arial"/>
                <w:sz w:val="20"/>
                <w:szCs w:val="20"/>
                <w:color w:val="auto"/>
              </w:rPr>
              <w:t>Interest expense (income), net</w:t>
            </w:r>
          </w:p>
        </w:tc>
        <w:tc>
          <w:tcPr>
            <w:tcW w:w="30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20"/>
                <w:szCs w:val="20"/>
                <w:color w:val="auto"/>
              </w:rPr>
              <w:t>1,836</w:t>
            </w:r>
          </w:p>
        </w:tc>
        <w:tc>
          <w:tcPr>
            <w:tcW w:w="300" w:type="dxa"/>
            <w:vAlign w:val="bottom"/>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20"/>
                <w:szCs w:val="20"/>
                <w:color w:val="auto"/>
              </w:rPr>
              <w:t>3,963</w:t>
            </w:r>
          </w:p>
        </w:tc>
        <w:tc>
          <w:tcPr>
            <w:tcW w:w="0" w:type="dxa"/>
            <w:vAlign w:val="bottom"/>
          </w:tcPr>
          <w:p>
            <w:pPr>
              <w:spacing w:after="0"/>
              <w:rPr>
                <w:sz w:val="1"/>
                <w:szCs w:val="1"/>
                <w:color w:val="auto"/>
              </w:rPr>
            </w:pPr>
          </w:p>
        </w:tc>
      </w:tr>
      <w:tr>
        <w:trPr>
          <w:trHeight w:val="246"/>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provision</w:t>
            </w:r>
          </w:p>
        </w:tc>
        <w:tc>
          <w:tcPr>
            <w:tcW w:w="300" w:type="dxa"/>
            <w:vAlign w:val="bottom"/>
            <w:shd w:val="clear" w:color="auto" w:fill="CCEEFF"/>
          </w:tcPr>
          <w:p>
            <w:pPr>
              <w:spacing w:after="0"/>
              <w:rPr>
                <w:sz w:val="21"/>
                <w:szCs w:val="21"/>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275</w:t>
            </w:r>
          </w:p>
        </w:tc>
        <w:tc>
          <w:tcPr>
            <w:tcW w:w="30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4,674</w:t>
            </w:r>
          </w:p>
        </w:tc>
        <w:tc>
          <w:tcPr>
            <w:tcW w:w="0" w:type="dxa"/>
            <w:vAlign w:val="bottom"/>
          </w:tcPr>
          <w:p>
            <w:pPr>
              <w:spacing w:after="0"/>
              <w:rPr>
                <w:sz w:val="1"/>
                <w:szCs w:val="1"/>
                <w:color w:val="auto"/>
              </w:rPr>
            </w:pPr>
          </w:p>
        </w:tc>
      </w:tr>
      <w:tr>
        <w:trPr>
          <w:trHeight w:val="378"/>
        </w:trPr>
        <w:tc>
          <w:tcPr>
            <w:tcW w:w="5940" w:type="dxa"/>
            <w:vAlign w:val="bottom"/>
          </w:tcPr>
          <w:p>
            <w:pPr>
              <w:ind w:left="20"/>
              <w:spacing w:after="0"/>
              <w:rPr>
                <w:sz w:val="20"/>
                <w:szCs w:val="20"/>
                <w:color w:val="auto"/>
              </w:rPr>
            </w:pPr>
            <w:r>
              <w:rPr>
                <w:rFonts w:ascii="Arial" w:cs="Arial" w:eastAsia="Arial" w:hAnsi="Arial"/>
                <w:sz w:val="20"/>
                <w:szCs w:val="20"/>
                <w:color w:val="auto"/>
              </w:rPr>
              <w:t xml:space="preserve">Stock-based compensation expense </w:t>
            </w:r>
            <w:r>
              <w:rPr>
                <w:rFonts w:ascii="Arial" w:cs="Arial" w:eastAsia="Arial" w:hAnsi="Arial"/>
                <w:sz w:val="25"/>
                <w:szCs w:val="25"/>
                <w:color w:val="auto"/>
                <w:vertAlign w:val="superscript"/>
              </w:rPr>
              <w:t>(a)</w:t>
            </w:r>
          </w:p>
        </w:tc>
        <w:tc>
          <w:tcPr>
            <w:tcW w:w="3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20"/>
                <w:szCs w:val="20"/>
                <w:color w:val="auto"/>
              </w:rPr>
              <w:t>5,473</w:t>
            </w:r>
          </w:p>
        </w:tc>
        <w:tc>
          <w:tcPr>
            <w:tcW w:w="3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20"/>
                <w:szCs w:val="20"/>
                <w:color w:val="auto"/>
              </w:rPr>
              <w:t>3,638</w:t>
            </w:r>
          </w:p>
        </w:tc>
        <w:tc>
          <w:tcPr>
            <w:tcW w:w="0" w:type="dxa"/>
            <w:vAlign w:val="bottom"/>
          </w:tcPr>
          <w:p>
            <w:pPr>
              <w:spacing w:after="0"/>
              <w:rPr>
                <w:sz w:val="1"/>
                <w:szCs w:val="1"/>
                <w:color w:val="auto"/>
              </w:rPr>
            </w:pPr>
          </w:p>
        </w:tc>
      </w:tr>
      <w:tr>
        <w:trPr>
          <w:trHeight w:val="378"/>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 xml:space="preserve">Asset impairment </w:t>
            </w:r>
            <w:r>
              <w:rPr>
                <w:rFonts w:ascii="Arial" w:cs="Arial" w:eastAsia="Arial" w:hAnsi="Arial"/>
                <w:sz w:val="25"/>
                <w:szCs w:val="25"/>
                <w:color w:val="auto"/>
                <w:vertAlign w:val="superscript"/>
              </w:rPr>
              <w:t>(b)</w:t>
            </w:r>
          </w:p>
        </w:tc>
        <w:tc>
          <w:tcPr>
            <w:tcW w:w="300" w:type="dxa"/>
            <w:vAlign w:val="bottom"/>
            <w:shd w:val="clear" w:color="auto" w:fill="CCEEFF"/>
          </w:tcPr>
          <w:p>
            <w:pPr>
              <w:spacing w:after="0"/>
              <w:rPr>
                <w:sz w:val="24"/>
                <w:szCs w:val="2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w:t>
            </w:r>
          </w:p>
        </w:tc>
        <w:tc>
          <w:tcPr>
            <w:tcW w:w="300" w:type="dxa"/>
            <w:vAlign w:val="bottom"/>
            <w:shd w:val="clear" w:color="auto" w:fill="CCEEFF"/>
          </w:tcPr>
          <w:p>
            <w:pPr>
              <w:spacing w:after="0"/>
              <w:rPr>
                <w:sz w:val="24"/>
                <w:szCs w:val="24"/>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3,509</w:t>
            </w:r>
          </w:p>
        </w:tc>
        <w:tc>
          <w:tcPr>
            <w:tcW w:w="0" w:type="dxa"/>
            <w:vAlign w:val="bottom"/>
          </w:tcPr>
          <w:p>
            <w:pPr>
              <w:spacing w:after="0"/>
              <w:rPr>
                <w:sz w:val="1"/>
                <w:szCs w:val="1"/>
                <w:color w:val="auto"/>
              </w:rPr>
            </w:pPr>
          </w:p>
        </w:tc>
      </w:tr>
      <w:tr>
        <w:trPr>
          <w:trHeight w:val="378"/>
        </w:trPr>
        <w:tc>
          <w:tcPr>
            <w:tcW w:w="5940" w:type="dxa"/>
            <w:vAlign w:val="bottom"/>
          </w:tcPr>
          <w:p>
            <w:pPr>
              <w:ind w:left="20"/>
              <w:spacing w:after="0"/>
              <w:rPr>
                <w:sz w:val="20"/>
                <w:szCs w:val="20"/>
                <w:color w:val="auto"/>
              </w:rPr>
            </w:pPr>
            <w:r>
              <w:rPr>
                <w:rFonts w:ascii="Arial" w:cs="Arial" w:eastAsia="Arial" w:hAnsi="Arial"/>
                <w:sz w:val="20"/>
                <w:szCs w:val="20"/>
                <w:color w:val="auto"/>
              </w:rPr>
              <w:t xml:space="preserve">Amortization of acquisition intangibles </w:t>
            </w:r>
            <w:r>
              <w:rPr>
                <w:rFonts w:ascii="Arial" w:cs="Arial" w:eastAsia="Arial" w:hAnsi="Arial"/>
                <w:sz w:val="25"/>
                <w:szCs w:val="25"/>
                <w:color w:val="auto"/>
                <w:vertAlign w:val="superscript"/>
              </w:rPr>
              <w:t>(c)</w:t>
            </w:r>
          </w:p>
        </w:tc>
        <w:tc>
          <w:tcPr>
            <w:tcW w:w="3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20"/>
                <w:szCs w:val="20"/>
                <w:color w:val="auto"/>
              </w:rPr>
              <w:t>1,872</w:t>
            </w:r>
          </w:p>
        </w:tc>
        <w:tc>
          <w:tcPr>
            <w:tcW w:w="3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20"/>
                <w:szCs w:val="20"/>
                <w:color w:val="auto"/>
              </w:rPr>
              <w:t>1,872</w:t>
            </w:r>
          </w:p>
        </w:tc>
        <w:tc>
          <w:tcPr>
            <w:tcW w:w="0" w:type="dxa"/>
            <w:vAlign w:val="bottom"/>
          </w:tcPr>
          <w:p>
            <w:pPr>
              <w:spacing w:after="0"/>
              <w:rPr>
                <w:sz w:val="1"/>
                <w:szCs w:val="1"/>
                <w:color w:val="auto"/>
              </w:rPr>
            </w:pPr>
          </w:p>
        </w:tc>
      </w:tr>
      <w:tr>
        <w:trPr>
          <w:trHeight w:val="36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 xml:space="preserve">Other </w:t>
            </w:r>
            <w:r>
              <w:rPr>
                <w:rFonts w:ascii="Arial" w:cs="Arial" w:eastAsia="Arial" w:hAnsi="Arial"/>
                <w:sz w:val="25"/>
                <w:szCs w:val="25"/>
                <w:color w:val="auto"/>
                <w:vertAlign w:val="superscript"/>
              </w:rPr>
              <w:t>(f)</w:t>
            </w:r>
          </w:p>
        </w:tc>
        <w:tc>
          <w:tcPr>
            <w:tcW w:w="300" w:type="dxa"/>
            <w:vAlign w:val="bottom"/>
            <w:tcBorders>
              <w:bottom w:val="single" w:sz="8" w:color="auto"/>
            </w:tcBorders>
            <w:shd w:val="clear" w:color="auto" w:fill="CCEEFF"/>
          </w:tcPr>
          <w:p>
            <w:pPr>
              <w:spacing w:after="0"/>
              <w:rPr>
                <w:sz w:val="24"/>
                <w:szCs w:val="24"/>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485</w:t>
            </w:r>
          </w:p>
        </w:tc>
        <w:tc>
          <w:tcPr>
            <w:tcW w:w="300" w:type="dxa"/>
            <w:vAlign w:val="bottom"/>
            <w:tcBorders>
              <w:bottom w:val="single" w:sz="8" w:color="auto"/>
            </w:tcBorders>
            <w:shd w:val="clear" w:color="auto" w:fill="CCEEFF"/>
          </w:tcPr>
          <w:p>
            <w:pPr>
              <w:spacing w:after="0"/>
              <w:rPr>
                <w:sz w:val="24"/>
                <w:szCs w:val="24"/>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390</w:t>
            </w:r>
          </w:p>
        </w:tc>
        <w:tc>
          <w:tcPr>
            <w:tcW w:w="0" w:type="dxa"/>
            <w:vAlign w:val="bottom"/>
          </w:tcPr>
          <w:p>
            <w:pPr>
              <w:spacing w:after="0"/>
              <w:rPr>
                <w:sz w:val="1"/>
                <w:szCs w:val="1"/>
                <w:color w:val="auto"/>
              </w:rPr>
            </w:pPr>
          </w:p>
        </w:tc>
      </w:tr>
      <w:tr>
        <w:trPr>
          <w:trHeight w:val="250"/>
        </w:trPr>
        <w:tc>
          <w:tcPr>
            <w:tcW w:w="5940" w:type="dxa"/>
            <w:vAlign w:val="bottom"/>
          </w:tcPr>
          <w:p>
            <w:pPr>
              <w:ind w:left="140"/>
              <w:spacing w:after="0"/>
              <w:rPr>
                <w:sz w:val="20"/>
                <w:szCs w:val="20"/>
                <w:color w:val="auto"/>
              </w:rPr>
            </w:pPr>
            <w:r>
              <w:rPr>
                <w:rFonts w:ascii="Arial" w:cs="Arial" w:eastAsia="Arial" w:hAnsi="Arial"/>
                <w:sz w:val="20"/>
                <w:szCs w:val="20"/>
                <w:b w:val="1"/>
                <w:bCs w:val="1"/>
                <w:color w:val="auto"/>
              </w:rPr>
              <w:t>Adjusted Operating Income</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16,448</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27,780</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6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1"/>
        </w:trPr>
        <w:tc>
          <w:tcPr>
            <w:tcW w:w="8580" w:type="dxa"/>
            <w:vAlign w:val="bottom"/>
            <w:gridSpan w:val="3"/>
          </w:tcPr>
          <w:p>
            <w:pPr>
              <w:ind w:left="2780"/>
              <w:spacing w:after="0"/>
              <w:rPr>
                <w:sz w:val="20"/>
                <w:szCs w:val="20"/>
                <w:color w:val="auto"/>
              </w:rPr>
            </w:pPr>
            <w:r>
              <w:rPr>
                <w:rFonts w:ascii="Arial" w:cs="Arial" w:eastAsia="Arial" w:hAnsi="Arial"/>
                <w:sz w:val="20"/>
                <w:szCs w:val="20"/>
                <w:b w:val="1"/>
                <w:bCs w:val="1"/>
                <w:color w:val="auto"/>
                <w:w w:val="91"/>
              </w:rPr>
              <w:t>Preliminary Reconciliation of Adjusted Diluted EPS to Diluted EPS</w:t>
            </w: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9"/>
              </w:rPr>
              <w:t>Three Months Ended</w:t>
            </w:r>
          </w:p>
        </w:tc>
        <w:tc>
          <w:tcPr>
            <w:tcW w:w="30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8"/>
              </w:rPr>
              <w:t>Three Months Ended</w:t>
            </w: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Shares in thousands, except per share amounts</w:t>
            </w:r>
          </w:p>
        </w:tc>
        <w:tc>
          <w:tcPr>
            <w:tcW w:w="3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jc w:val="center"/>
              <w:ind w:right="221"/>
              <w:spacing w:after="0"/>
              <w:rPr>
                <w:sz w:val="20"/>
                <w:szCs w:val="20"/>
                <w:color w:val="auto"/>
              </w:rPr>
            </w:pPr>
            <w:r>
              <w:rPr>
                <w:rFonts w:ascii="Arial" w:cs="Arial" w:eastAsia="Arial" w:hAnsi="Arial"/>
                <w:sz w:val="20"/>
                <w:szCs w:val="20"/>
                <w:color w:val="auto"/>
                <w:w w:val="90"/>
              </w:rPr>
              <w:t>July 1, 2023</w:t>
            </w:r>
          </w:p>
        </w:tc>
        <w:tc>
          <w:tcPr>
            <w:tcW w:w="30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90"/>
              </w:rPr>
              <w:t>July 2, 2022</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Diluted EPS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71"/>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0.07</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0.12</w:t>
            </w:r>
          </w:p>
        </w:tc>
        <w:tc>
          <w:tcPr>
            <w:tcW w:w="0" w:type="dxa"/>
            <w:vAlign w:val="bottom"/>
          </w:tcPr>
          <w:p>
            <w:pPr>
              <w:spacing w:after="0"/>
              <w:rPr>
                <w:sz w:val="1"/>
                <w:szCs w:val="1"/>
                <w:color w:val="auto"/>
              </w:rPr>
            </w:pPr>
          </w:p>
        </w:tc>
      </w:tr>
      <w:tr>
        <w:trPr>
          <w:trHeight w:val="378"/>
        </w:trPr>
        <w:tc>
          <w:tcPr>
            <w:tcW w:w="5940" w:type="dxa"/>
            <w:vAlign w:val="bottom"/>
          </w:tcPr>
          <w:p>
            <w:pPr>
              <w:ind w:left="20"/>
              <w:spacing w:after="0"/>
              <w:rPr>
                <w:sz w:val="20"/>
                <w:szCs w:val="20"/>
                <w:color w:val="auto"/>
              </w:rPr>
            </w:pPr>
            <w:r>
              <w:rPr>
                <w:rFonts w:ascii="Arial" w:cs="Arial" w:eastAsia="Arial" w:hAnsi="Arial"/>
                <w:sz w:val="20"/>
                <w:szCs w:val="20"/>
                <w:color w:val="auto"/>
              </w:rPr>
              <w:t xml:space="preserve">Stock-based compensation expense </w:t>
            </w:r>
            <w:r>
              <w:rPr>
                <w:rFonts w:ascii="Arial" w:cs="Arial" w:eastAsia="Arial" w:hAnsi="Arial"/>
                <w:sz w:val="25"/>
                <w:szCs w:val="25"/>
                <w:color w:val="auto"/>
                <w:vertAlign w:val="superscript"/>
              </w:rPr>
              <w:t>(a)</w:t>
            </w:r>
          </w:p>
        </w:tc>
        <w:tc>
          <w:tcPr>
            <w:tcW w:w="3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20"/>
                <w:szCs w:val="20"/>
                <w:color w:val="auto"/>
              </w:rPr>
              <w:t>0.07</w:t>
            </w:r>
          </w:p>
        </w:tc>
        <w:tc>
          <w:tcPr>
            <w:tcW w:w="3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20"/>
                <w:szCs w:val="20"/>
                <w:color w:val="auto"/>
              </w:rPr>
              <w:t>0.05</w:t>
            </w:r>
          </w:p>
        </w:tc>
        <w:tc>
          <w:tcPr>
            <w:tcW w:w="0" w:type="dxa"/>
            <w:vAlign w:val="bottom"/>
          </w:tcPr>
          <w:p>
            <w:pPr>
              <w:spacing w:after="0"/>
              <w:rPr>
                <w:sz w:val="1"/>
                <w:szCs w:val="1"/>
                <w:color w:val="auto"/>
              </w:rPr>
            </w:pPr>
          </w:p>
        </w:tc>
      </w:tr>
      <w:tr>
        <w:trPr>
          <w:trHeight w:val="378"/>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 xml:space="preserve">Asset impairment </w:t>
            </w:r>
            <w:r>
              <w:rPr>
                <w:rFonts w:ascii="Arial" w:cs="Arial" w:eastAsia="Arial" w:hAnsi="Arial"/>
                <w:sz w:val="25"/>
                <w:szCs w:val="25"/>
                <w:color w:val="auto"/>
                <w:vertAlign w:val="superscript"/>
              </w:rPr>
              <w:t>(b)</w:t>
            </w:r>
          </w:p>
        </w:tc>
        <w:tc>
          <w:tcPr>
            <w:tcW w:w="300" w:type="dxa"/>
            <w:vAlign w:val="bottom"/>
            <w:shd w:val="clear" w:color="auto" w:fill="CCEEFF"/>
          </w:tcPr>
          <w:p>
            <w:pPr>
              <w:spacing w:after="0"/>
              <w:rPr>
                <w:sz w:val="24"/>
                <w:szCs w:val="2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0.01</w:t>
            </w:r>
          </w:p>
        </w:tc>
        <w:tc>
          <w:tcPr>
            <w:tcW w:w="300" w:type="dxa"/>
            <w:vAlign w:val="bottom"/>
            <w:shd w:val="clear" w:color="auto" w:fill="CCEEFF"/>
          </w:tcPr>
          <w:p>
            <w:pPr>
              <w:spacing w:after="0"/>
              <w:rPr>
                <w:sz w:val="24"/>
                <w:szCs w:val="24"/>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378"/>
        </w:trPr>
        <w:tc>
          <w:tcPr>
            <w:tcW w:w="5940" w:type="dxa"/>
            <w:vAlign w:val="bottom"/>
          </w:tcPr>
          <w:p>
            <w:pPr>
              <w:ind w:left="20"/>
              <w:spacing w:after="0"/>
              <w:rPr>
                <w:sz w:val="20"/>
                <w:szCs w:val="20"/>
                <w:color w:val="auto"/>
              </w:rPr>
            </w:pPr>
            <w:r>
              <w:rPr>
                <w:rFonts w:ascii="Arial" w:cs="Arial" w:eastAsia="Arial" w:hAnsi="Arial"/>
                <w:sz w:val="20"/>
                <w:szCs w:val="20"/>
                <w:color w:val="auto"/>
              </w:rPr>
              <w:t xml:space="preserve">Amortization of acquisition intangibles </w:t>
            </w:r>
            <w:r>
              <w:rPr>
                <w:rFonts w:ascii="Arial" w:cs="Arial" w:eastAsia="Arial" w:hAnsi="Arial"/>
                <w:sz w:val="25"/>
                <w:szCs w:val="25"/>
                <w:color w:val="auto"/>
                <w:vertAlign w:val="superscript"/>
              </w:rPr>
              <w:t>(c)</w:t>
            </w:r>
          </w:p>
        </w:tc>
        <w:tc>
          <w:tcPr>
            <w:tcW w:w="3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20"/>
                <w:szCs w:val="20"/>
                <w:color w:val="auto"/>
              </w:rPr>
              <w:t>0.02</w:t>
            </w:r>
          </w:p>
        </w:tc>
        <w:tc>
          <w:tcPr>
            <w:tcW w:w="3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20"/>
                <w:szCs w:val="20"/>
                <w:color w:val="auto"/>
              </w:rPr>
              <w:t>0.02</w:t>
            </w:r>
          </w:p>
        </w:tc>
        <w:tc>
          <w:tcPr>
            <w:tcW w:w="0" w:type="dxa"/>
            <w:vAlign w:val="bottom"/>
          </w:tcPr>
          <w:p>
            <w:pPr>
              <w:spacing w:after="0"/>
              <w:rPr>
                <w:sz w:val="1"/>
                <w:szCs w:val="1"/>
                <w:color w:val="auto"/>
              </w:rPr>
            </w:pPr>
          </w:p>
        </w:tc>
      </w:tr>
      <w:tr>
        <w:trPr>
          <w:trHeight w:val="378"/>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 xml:space="preserve">Amortization of debt discount and deferred financing costs </w:t>
            </w:r>
            <w:r>
              <w:rPr>
                <w:rFonts w:ascii="Arial" w:cs="Arial" w:eastAsia="Arial" w:hAnsi="Arial"/>
                <w:sz w:val="25"/>
                <w:szCs w:val="25"/>
                <w:color w:val="auto"/>
                <w:vertAlign w:val="superscript"/>
              </w:rPr>
              <w:t>(d)</w:t>
            </w:r>
          </w:p>
        </w:tc>
        <w:tc>
          <w:tcPr>
            <w:tcW w:w="300" w:type="dxa"/>
            <w:vAlign w:val="bottom"/>
            <w:shd w:val="clear" w:color="auto" w:fill="CCEEFF"/>
          </w:tcPr>
          <w:p>
            <w:pPr>
              <w:spacing w:after="0"/>
              <w:rPr>
                <w:sz w:val="24"/>
                <w:szCs w:val="2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0.01</w:t>
            </w:r>
          </w:p>
        </w:tc>
        <w:tc>
          <w:tcPr>
            <w:tcW w:w="300" w:type="dxa"/>
            <w:vAlign w:val="bottom"/>
            <w:shd w:val="clear" w:color="auto" w:fill="CCEEFF"/>
          </w:tcPr>
          <w:p>
            <w:pPr>
              <w:spacing w:after="0"/>
              <w:rPr>
                <w:sz w:val="24"/>
                <w:szCs w:val="24"/>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0.01</w:t>
            </w:r>
          </w:p>
        </w:tc>
        <w:tc>
          <w:tcPr>
            <w:tcW w:w="0" w:type="dxa"/>
            <w:vAlign w:val="bottom"/>
          </w:tcPr>
          <w:p>
            <w:pPr>
              <w:spacing w:after="0"/>
              <w:rPr>
                <w:sz w:val="1"/>
                <w:szCs w:val="1"/>
                <w:color w:val="auto"/>
              </w:rPr>
            </w:pPr>
          </w:p>
        </w:tc>
      </w:tr>
      <w:tr>
        <w:trPr>
          <w:trHeight w:val="378"/>
        </w:trPr>
        <w:tc>
          <w:tcPr>
            <w:tcW w:w="5940" w:type="dxa"/>
            <w:vAlign w:val="bottom"/>
          </w:tcPr>
          <w:p>
            <w:pPr>
              <w:ind w:left="20"/>
              <w:spacing w:after="0"/>
              <w:rPr>
                <w:sz w:val="20"/>
                <w:szCs w:val="20"/>
                <w:color w:val="auto"/>
              </w:rPr>
            </w:pPr>
            <w:r>
              <w:rPr>
                <w:rFonts w:ascii="Arial" w:cs="Arial" w:eastAsia="Arial" w:hAnsi="Arial"/>
                <w:sz w:val="20"/>
                <w:szCs w:val="20"/>
                <w:color w:val="auto"/>
              </w:rPr>
              <w:t xml:space="preserve">Losses (gains) on change in fair value of derivatives </w:t>
            </w:r>
            <w:r>
              <w:rPr>
                <w:rFonts w:ascii="Arial" w:cs="Arial" w:eastAsia="Arial" w:hAnsi="Arial"/>
                <w:sz w:val="25"/>
                <w:szCs w:val="25"/>
                <w:color w:val="auto"/>
                <w:vertAlign w:val="superscript"/>
              </w:rPr>
              <w:t>(e)</w:t>
            </w:r>
          </w:p>
        </w:tc>
        <w:tc>
          <w:tcPr>
            <w:tcW w:w="3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20"/>
                <w:szCs w:val="20"/>
                <w:color w:val="auto"/>
              </w:rPr>
              <w:t>0.00</w:t>
            </w:r>
          </w:p>
        </w:tc>
        <w:tc>
          <w:tcPr>
            <w:tcW w:w="3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20"/>
                <w:szCs w:val="20"/>
                <w:color w:val="auto"/>
              </w:rPr>
              <w:t>(0.01)</w:t>
            </w:r>
          </w:p>
        </w:tc>
        <w:tc>
          <w:tcPr>
            <w:tcW w:w="0" w:type="dxa"/>
            <w:vAlign w:val="bottom"/>
          </w:tcPr>
          <w:p>
            <w:pPr>
              <w:spacing w:after="0"/>
              <w:rPr>
                <w:sz w:val="1"/>
                <w:szCs w:val="1"/>
                <w:color w:val="auto"/>
              </w:rPr>
            </w:pPr>
          </w:p>
        </w:tc>
      </w:tr>
      <w:tr>
        <w:trPr>
          <w:trHeight w:val="364"/>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 xml:space="preserve">Other </w:t>
            </w:r>
            <w:r>
              <w:rPr>
                <w:rFonts w:ascii="Arial" w:cs="Arial" w:eastAsia="Arial" w:hAnsi="Arial"/>
                <w:sz w:val="25"/>
                <w:szCs w:val="25"/>
                <w:color w:val="auto"/>
                <w:vertAlign w:val="superscript"/>
              </w:rPr>
              <w:t>(i)</w:t>
            </w:r>
          </w:p>
        </w:tc>
        <w:tc>
          <w:tcPr>
            <w:tcW w:w="300" w:type="dxa"/>
            <w:vAlign w:val="bottom"/>
            <w:shd w:val="clear" w:color="auto" w:fill="CCEEFF"/>
          </w:tcPr>
          <w:p>
            <w:pPr>
              <w:spacing w:after="0"/>
              <w:rPr>
                <w:sz w:val="24"/>
                <w:szCs w:val="2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0.01</w:t>
            </w:r>
          </w:p>
        </w:tc>
        <w:tc>
          <w:tcPr>
            <w:tcW w:w="300" w:type="dxa"/>
            <w:vAlign w:val="bottom"/>
            <w:shd w:val="clear" w:color="auto" w:fill="CCEEFF"/>
          </w:tcPr>
          <w:p>
            <w:pPr>
              <w:spacing w:after="0"/>
              <w:rPr>
                <w:sz w:val="24"/>
                <w:szCs w:val="24"/>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378"/>
        </w:trPr>
        <w:tc>
          <w:tcPr>
            <w:tcW w:w="5940" w:type="dxa"/>
            <w:vAlign w:val="bottom"/>
          </w:tcPr>
          <w:p>
            <w:pPr>
              <w:ind w:left="20"/>
              <w:spacing w:after="0"/>
              <w:rPr>
                <w:sz w:val="20"/>
                <w:szCs w:val="20"/>
                <w:color w:val="auto"/>
              </w:rPr>
            </w:pPr>
            <w:r>
              <w:rPr>
                <w:rFonts w:ascii="Arial" w:cs="Arial" w:eastAsia="Arial" w:hAnsi="Arial"/>
                <w:sz w:val="20"/>
                <w:szCs w:val="20"/>
                <w:color w:val="auto"/>
              </w:rPr>
              <w:t xml:space="preserve">Tax expense (benefit) from stock-based compensation </w:t>
            </w:r>
            <w:r>
              <w:rPr>
                <w:rFonts w:ascii="Arial" w:cs="Arial" w:eastAsia="Arial" w:hAnsi="Arial"/>
                <w:sz w:val="25"/>
                <w:szCs w:val="25"/>
                <w:color w:val="auto"/>
                <w:vertAlign w:val="superscript"/>
              </w:rPr>
              <w:t>(g)</w:t>
            </w:r>
          </w:p>
        </w:tc>
        <w:tc>
          <w:tcPr>
            <w:tcW w:w="3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20"/>
                <w:szCs w:val="20"/>
                <w:color w:val="auto"/>
              </w:rPr>
              <w:t>0.00</w:t>
            </w:r>
          </w:p>
        </w:tc>
        <w:tc>
          <w:tcPr>
            <w:tcW w:w="3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378"/>
        </w:trPr>
        <w:tc>
          <w:tcPr>
            <w:tcW w:w="5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 xml:space="preserve">Tax effect of total adjustments </w:t>
            </w:r>
            <w:r>
              <w:rPr>
                <w:rFonts w:ascii="Arial" w:cs="Arial" w:eastAsia="Arial" w:hAnsi="Arial"/>
                <w:sz w:val="25"/>
                <w:szCs w:val="25"/>
                <w:color w:val="auto"/>
                <w:vertAlign w:val="superscript"/>
              </w:rPr>
              <w:t>(h)</w:t>
            </w:r>
          </w:p>
        </w:tc>
        <w:tc>
          <w:tcPr>
            <w:tcW w:w="300" w:type="dxa"/>
            <w:vAlign w:val="bottom"/>
            <w:tcBorders>
              <w:bottom w:val="single" w:sz="8" w:color="auto"/>
            </w:tcBorders>
            <w:shd w:val="clear" w:color="auto" w:fill="CCEEFF"/>
          </w:tcPr>
          <w:p>
            <w:pPr>
              <w:spacing w:after="0"/>
              <w:rPr>
                <w:sz w:val="24"/>
                <w:szCs w:val="24"/>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(0.03)</w:t>
            </w:r>
          </w:p>
        </w:tc>
        <w:tc>
          <w:tcPr>
            <w:tcW w:w="300" w:type="dxa"/>
            <w:vAlign w:val="bottom"/>
            <w:tcBorders>
              <w:bottom w:val="single" w:sz="8" w:color="auto"/>
            </w:tcBorders>
            <w:shd w:val="clear" w:color="auto" w:fill="CCEEFF"/>
          </w:tcPr>
          <w:p>
            <w:pPr>
              <w:spacing w:after="0"/>
              <w:rPr>
                <w:sz w:val="24"/>
                <w:szCs w:val="24"/>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(0.03)</w:t>
            </w:r>
          </w:p>
        </w:tc>
        <w:tc>
          <w:tcPr>
            <w:tcW w:w="0" w:type="dxa"/>
            <w:vAlign w:val="bottom"/>
          </w:tcPr>
          <w:p>
            <w:pPr>
              <w:spacing w:after="0"/>
              <w:rPr>
                <w:sz w:val="1"/>
                <w:szCs w:val="1"/>
                <w:color w:val="auto"/>
              </w:rPr>
            </w:pPr>
          </w:p>
        </w:tc>
      </w:tr>
      <w:tr>
        <w:trPr>
          <w:trHeight w:val="236"/>
        </w:trPr>
        <w:tc>
          <w:tcPr>
            <w:tcW w:w="5940" w:type="dxa"/>
            <w:vAlign w:val="bottom"/>
          </w:tcPr>
          <w:p>
            <w:pPr>
              <w:ind w:left="140"/>
              <w:spacing w:after="0"/>
              <w:rPr>
                <w:sz w:val="20"/>
                <w:szCs w:val="20"/>
                <w:color w:val="auto"/>
              </w:rPr>
            </w:pPr>
            <w:r>
              <w:rPr>
                <w:rFonts w:ascii="Arial" w:cs="Arial" w:eastAsia="Arial" w:hAnsi="Arial"/>
                <w:sz w:val="20"/>
                <w:szCs w:val="20"/>
                <w:b w:val="1"/>
                <w:bCs w:val="1"/>
                <w:color w:val="auto"/>
              </w:rPr>
              <w:t>Adjusted Diluted EPS</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0.17</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0.21</w:t>
            </w:r>
          </w:p>
        </w:tc>
        <w:tc>
          <w:tcPr>
            <w:tcW w:w="0" w:type="dxa"/>
            <w:vAlign w:val="bottom"/>
          </w:tcPr>
          <w:p>
            <w:pPr>
              <w:spacing w:after="0"/>
              <w:rPr>
                <w:sz w:val="1"/>
                <w:szCs w:val="1"/>
                <w:color w:val="auto"/>
              </w:rPr>
            </w:pPr>
          </w:p>
        </w:tc>
      </w:tr>
      <w:tr>
        <w:trPr>
          <w:trHeight w:val="21"/>
        </w:trPr>
        <w:tc>
          <w:tcPr>
            <w:tcW w:w="59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Weighted average diluted shares outstanding</w:t>
            </w:r>
          </w:p>
        </w:tc>
        <w:tc>
          <w:tcPr>
            <w:tcW w:w="3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5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20"/>
                <w:szCs w:val="20"/>
                <w:color w:val="auto"/>
              </w:rPr>
              <w:t>78,343</w:t>
            </w:r>
          </w:p>
        </w:tc>
        <w:tc>
          <w:tcPr>
            <w:tcW w:w="3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20"/>
                <w:szCs w:val="20"/>
                <w:color w:val="auto"/>
              </w:rPr>
              <w:t>80,403</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Note: Some of the totals in the table above do not foot due to rounding differences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21" w:lineRule="exact"/>
        <w:rPr>
          <w:sz w:val="20"/>
          <w:szCs w:val="20"/>
          <w:color w:val="auto"/>
        </w:rPr>
      </w:pPr>
    </w:p>
    <w:p>
      <w:pPr>
        <w:ind w:left="340" w:hanging="251"/>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41" w:lineRule="exact"/>
        <w:rPr>
          <w:rFonts w:ascii="Arial" w:cs="Arial" w:eastAsia="Arial" w:hAnsi="Arial"/>
          <w:sz w:val="14"/>
          <w:szCs w:val="14"/>
          <w:color w:val="auto"/>
        </w:rPr>
      </w:pPr>
    </w:p>
    <w:p>
      <w:pPr>
        <w:ind w:left="340" w:hanging="251"/>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Reflects write-off of primarily property, equipment and lease-related assets on closed or underperforming stores.</w:t>
      </w:r>
    </w:p>
    <w:p>
      <w:pPr>
        <w:spacing w:after="0" w:line="28" w:lineRule="exact"/>
        <w:rPr>
          <w:rFonts w:ascii="Arial" w:cs="Arial" w:eastAsia="Arial" w:hAnsi="Arial"/>
          <w:sz w:val="14"/>
          <w:szCs w:val="14"/>
          <w:color w:val="auto"/>
        </w:rPr>
      </w:pPr>
    </w:p>
    <w:p>
      <w:pPr>
        <w:ind w:left="340" w:right="160" w:hanging="251"/>
        <w:spacing w:after="0" w:line="33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acquisition of the Company by affiliates of KKR &amp; Co. Inc.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40" w:right="339" w:bottom="1440" w:gutter="0" w:footer="0" w:header="0"/>
          <w:type w:val="continuous"/>
        </w:sectPr>
      </w:pPr>
    </w:p>
    <w:bookmarkStart w:id="11" w:name="page12"/>
    <w:bookmarkEnd w:id="11"/>
    <w:p>
      <w:pPr>
        <w:ind w:left="340" w:right="160" w:hanging="251"/>
        <w:spacing w:after="0" w:line="30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spacing w:after="0" w:line="1" w:lineRule="exact"/>
        <w:rPr>
          <w:rFonts w:ascii="Arial" w:cs="Arial" w:eastAsia="Arial" w:hAnsi="Arial"/>
          <w:sz w:val="14"/>
          <w:szCs w:val="14"/>
          <w:color w:val="auto"/>
        </w:rPr>
      </w:pPr>
    </w:p>
    <w:p>
      <w:pPr>
        <w:ind w:left="340" w:hanging="251"/>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(income), net on change in fair value of de-designated hedges.</w:t>
      </w:r>
    </w:p>
    <w:p>
      <w:pPr>
        <w:spacing w:after="0" w:line="28" w:lineRule="exact"/>
        <w:rPr>
          <w:rFonts w:ascii="Arial" w:cs="Arial" w:eastAsia="Arial" w:hAnsi="Arial"/>
          <w:sz w:val="14"/>
          <w:szCs w:val="14"/>
          <w:color w:val="auto"/>
        </w:rPr>
      </w:pPr>
    </w:p>
    <w:p>
      <w:pPr>
        <w:jc w:val="both"/>
        <w:ind w:left="340" w:right="160" w:hanging="251"/>
        <w:spacing w:after="0" w:line="30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and Adjusted Diluted EPS), which are primarily related to excess payroll taxes on vesting of restricted stock units and exercises of stock options, executive severance and relocation and other expenses and adjustments.</w:t>
      </w:r>
    </w:p>
    <w:p>
      <w:pPr>
        <w:spacing w:after="0" w:line="1" w:lineRule="exact"/>
        <w:rPr>
          <w:rFonts w:ascii="Arial" w:cs="Arial" w:eastAsia="Arial" w:hAnsi="Arial"/>
          <w:sz w:val="14"/>
          <w:szCs w:val="14"/>
          <w:color w:val="auto"/>
        </w:rPr>
      </w:pPr>
    </w:p>
    <w:p>
      <w:pPr>
        <w:ind w:left="340" w:right="160" w:hanging="251"/>
        <w:spacing w:after="0" w:line="30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Tax expense (benefit) associated with accounting guidance requiring excess tax expense (benefit) related to vesting of restricted stock units and exercises of stock options to be recorded in earnings as discrete items in the reporting period in which they occur.</w:t>
      </w:r>
    </w:p>
    <w:p>
      <w:pPr>
        <w:spacing w:after="0" w:line="1" w:lineRule="exact"/>
        <w:rPr>
          <w:rFonts w:ascii="Arial" w:cs="Arial" w:eastAsia="Arial" w:hAnsi="Arial"/>
          <w:sz w:val="14"/>
          <w:szCs w:val="14"/>
          <w:color w:val="auto"/>
        </w:rPr>
      </w:pPr>
    </w:p>
    <w:p>
      <w:pPr>
        <w:ind w:left="340" w:hanging="251"/>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28" w:lineRule="exact"/>
        <w:rPr>
          <w:rFonts w:ascii="Arial" w:cs="Arial" w:eastAsia="Arial" w:hAnsi="Arial"/>
          <w:sz w:val="14"/>
          <w:szCs w:val="14"/>
          <w:color w:val="auto"/>
        </w:rPr>
      </w:pPr>
    </w:p>
    <w:p>
      <w:pPr>
        <w:ind w:left="340" w:hanging="251"/>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other expenses in (f) above, including debt issuance costs of $0.2 million for the three months ended July 1, 2023.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Preliminary Reconciliation of Adjusted Comparable Store Sales Growth to</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Total Comparable Store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48260</wp:posOffset>
            </wp:positionV>
            <wp:extent cx="31635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p>
      <w:pPr>
        <w:spacing w:after="0" w:line="87"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Three Months Ended</w:t>
      </w:r>
    </w:p>
    <w:p>
      <w:pPr>
        <w:spacing w:after="0" w:line="35"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July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8890</wp:posOffset>
            </wp:positionV>
            <wp:extent cx="15513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July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8890</wp:posOffset>
            </wp:positionV>
            <wp:extent cx="1551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60" w:space="720"/>
            <w:col w:w="2060"/>
          </w:cols>
          <w:pgMar w:left="320" w:top="1430"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5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 xml:space="preserve">Total comparable store sales growth </w:t>
            </w:r>
            <w:r>
              <w:rPr>
                <w:rFonts w:ascii="Arial" w:cs="Arial" w:eastAsia="Arial" w:hAnsi="Arial"/>
                <w:sz w:val="25"/>
                <w:szCs w:val="25"/>
                <w:color w:val="auto"/>
                <w:vertAlign w:val="superscript"/>
              </w:rPr>
              <w:t>(a)</w:t>
            </w:r>
          </w:p>
        </w:tc>
        <w:tc>
          <w:tcPr>
            <w:tcW w:w="37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(0.1)%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378"/>
        </w:trPr>
        <w:tc>
          <w:tcPr>
            <w:tcW w:w="5880" w:type="dxa"/>
            <w:vAlign w:val="bottom"/>
          </w:tcPr>
          <w:p>
            <w:pPr>
              <w:ind w:left="20"/>
              <w:spacing w:after="0"/>
              <w:rPr>
                <w:sz w:val="20"/>
                <w:szCs w:val="20"/>
                <w:color w:val="auto"/>
              </w:rPr>
            </w:pPr>
            <w:r>
              <w:rPr>
                <w:rFonts w:ascii="Arial" w:cs="Arial" w:eastAsia="Arial" w:hAnsi="Arial"/>
                <w:sz w:val="20"/>
                <w:szCs w:val="20"/>
                <w:color w:val="auto"/>
              </w:rPr>
              <w:t xml:space="preserve">Adjustments for effects of: </w:t>
            </w:r>
            <w:r>
              <w:rPr>
                <w:rFonts w:ascii="Arial" w:cs="Arial" w:eastAsia="Arial" w:hAnsi="Arial"/>
                <w:sz w:val="25"/>
                <w:szCs w:val="25"/>
                <w:color w:val="auto"/>
                <w:vertAlign w:val="superscript"/>
              </w:rPr>
              <w:t>(b)</w:t>
            </w:r>
          </w:p>
        </w:tc>
        <w:tc>
          <w:tcPr>
            <w:tcW w:w="3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7"/>
        </w:trPr>
        <w:tc>
          <w:tcPr>
            <w:tcW w:w="5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Unearned &amp; deferred revenue</w:t>
            </w:r>
          </w:p>
        </w:tc>
        <w:tc>
          <w:tcPr>
            <w:tcW w:w="37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1.2 %</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880" w:type="dxa"/>
            <w:vAlign w:val="bottom"/>
          </w:tcPr>
          <w:p>
            <w:pPr>
              <w:ind w:left="240"/>
              <w:spacing w:after="0"/>
              <w:rPr>
                <w:sz w:val="20"/>
                <w:szCs w:val="20"/>
                <w:color w:val="auto"/>
              </w:rPr>
            </w:pPr>
            <w:r>
              <w:rPr>
                <w:rFonts w:ascii="Arial" w:cs="Arial" w:eastAsia="Arial" w:hAnsi="Arial"/>
                <w:sz w:val="20"/>
                <w:szCs w:val="20"/>
                <w:color w:val="auto"/>
              </w:rPr>
              <w:t>Retail sales to Legacy partner’s customers</w:t>
            </w:r>
          </w:p>
        </w:tc>
        <w:tc>
          <w:tcPr>
            <w:tcW w:w="3780" w:type="dxa"/>
            <w:vAlign w:val="bottom"/>
          </w:tcPr>
          <w:p>
            <w:pPr>
              <w:jc w:val="right"/>
              <w:ind w:right="890"/>
              <w:spacing w:after="0"/>
              <w:rPr>
                <w:sz w:val="20"/>
                <w:szCs w:val="20"/>
                <w:color w:val="auto"/>
              </w:rPr>
            </w:pPr>
            <w:r>
              <w:rPr>
                <w:rFonts w:ascii="Arial" w:cs="Arial" w:eastAsia="Arial" w:hAnsi="Arial"/>
                <w:sz w:val="18"/>
                <w:szCs w:val="18"/>
                <w:color w:val="auto"/>
              </w:rPr>
              <w:t>(0.1)%</w:t>
            </w: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56"/>
        </w:trPr>
        <w:tc>
          <w:tcPr>
            <w:tcW w:w="5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Adjusted Comparable Store Sales Growth</w:t>
            </w:r>
          </w:p>
        </w:tc>
        <w:tc>
          <w:tcPr>
            <w:tcW w:w="37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1.0 %</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bl>
    <w:p>
      <w:pPr>
        <w:spacing w:after="0" w:line="319" w:lineRule="exact"/>
        <w:rPr>
          <w:sz w:val="20"/>
          <w:szCs w:val="20"/>
          <w:color w:val="auto"/>
        </w:rPr>
      </w:pPr>
    </w:p>
    <w:p>
      <w:pPr>
        <w:jc w:val="both"/>
        <w:ind w:left="340" w:right="160" w:hanging="251"/>
        <w:spacing w:after="0" w:line="31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w:t>
      </w:r>
    </w:p>
    <w:p>
      <w:pPr>
        <w:spacing w:after="0" w:line="77" w:lineRule="exact"/>
        <w:rPr>
          <w:rFonts w:ascii="Arial" w:cs="Arial" w:eastAsia="Arial" w:hAnsi="Arial"/>
          <w:sz w:val="14"/>
          <w:szCs w:val="14"/>
          <w:color w:val="auto"/>
        </w:rPr>
      </w:pPr>
    </w:p>
    <w:p>
      <w:pPr>
        <w:jc w:val="both"/>
        <w:ind w:left="340" w:right="160" w:hanging="251"/>
        <w:spacing w:after="0" w:line="325"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changes from total comparable store sales growth</w:t>
      </w:r>
    </w:p>
    <w:p>
      <w:pPr>
        <w:jc w:val="both"/>
        <w:ind w:left="340" w:right="160"/>
        <w:spacing w:after="0" w:line="307" w:lineRule="auto"/>
        <w:rPr>
          <w:rFonts w:ascii="Arial" w:cs="Arial" w:eastAsia="Arial" w:hAnsi="Arial"/>
          <w:sz w:val="13"/>
          <w:szCs w:val="13"/>
          <w:color w:val="auto"/>
        </w:rPr>
      </w:pPr>
      <w:r>
        <w:rPr>
          <w:rFonts w:ascii="Arial" w:cs="Arial" w:eastAsia="Arial" w:hAnsi="Arial"/>
          <w:sz w:val="14"/>
          <w:szCs w:val="14"/>
          <w:color w:val="auto"/>
        </w:rPr>
        <w:t>based on consolidated net revenue as shown in the table above; and (ii) Adjusted Comparable Store Sales Growth includes retail sales to the Legacy partner’s customers (rather than the revenues recognized consistent with the management &amp; services agreement with the Legacy partner), resulting in the changes from total comparable store sales growth based on consolidated net revenue as shown in the table above.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80" w:type="dxa"/>
            <w:vAlign w:val="bottom"/>
          </w:tcPr>
          <w:p>
            <w:pPr>
              <w:spacing w:after="0"/>
              <w:rPr>
                <w:sz w:val="22"/>
                <w:szCs w:val="22"/>
                <w:color w:val="auto"/>
              </w:rPr>
            </w:pPr>
          </w:p>
        </w:tc>
        <w:tc>
          <w:tcPr>
            <w:tcW w:w="6380" w:type="dxa"/>
            <w:vAlign w:val="bottom"/>
            <w:gridSpan w:val="2"/>
          </w:tcPr>
          <w:p>
            <w:pPr>
              <w:jc w:val="right"/>
              <w:ind w:right="2101"/>
              <w:spacing w:after="0"/>
              <w:rPr>
                <w:sz w:val="20"/>
                <w:szCs w:val="20"/>
                <w:color w:val="auto"/>
              </w:rPr>
            </w:pPr>
            <w:r>
              <w:rPr>
                <w:rFonts w:ascii="Arial" w:cs="Arial" w:eastAsia="Arial" w:hAnsi="Arial"/>
                <w:sz w:val="20"/>
                <w:szCs w:val="20"/>
                <w:b w:val="1"/>
                <w:bCs w:val="1"/>
                <w:color w:val="auto"/>
              </w:rPr>
              <w:t>Reconciliation of EBITDA to Net Income</w:t>
            </w:r>
          </w:p>
        </w:tc>
        <w:tc>
          <w:tcPr>
            <w:tcW w:w="1680" w:type="dxa"/>
            <w:vAlign w:val="bottom"/>
          </w:tcPr>
          <w:p>
            <w:pPr>
              <w:spacing w:after="0"/>
              <w:rPr>
                <w:sz w:val="22"/>
                <w:szCs w:val="22"/>
                <w:color w:val="auto"/>
              </w:rPr>
            </w:pPr>
          </w:p>
        </w:tc>
      </w:tr>
      <w:tr>
        <w:trPr>
          <w:trHeight w:val="280"/>
        </w:trPr>
        <w:tc>
          <w:tcPr>
            <w:tcW w:w="3180" w:type="dxa"/>
            <w:vAlign w:val="bottom"/>
          </w:tcPr>
          <w:p>
            <w:pPr>
              <w:ind w:left="80"/>
              <w:spacing w:after="0"/>
              <w:rPr>
                <w:sz w:val="20"/>
                <w:szCs w:val="20"/>
                <w:color w:val="auto"/>
              </w:rPr>
            </w:pPr>
            <w:r>
              <w:rPr>
                <w:rFonts w:ascii="Arial" w:cs="Arial" w:eastAsia="Arial" w:hAnsi="Arial"/>
                <w:sz w:val="19"/>
                <w:szCs w:val="19"/>
                <w:i w:val="1"/>
                <w:iCs w:val="1"/>
                <w:color w:val="auto"/>
              </w:rPr>
              <w:t>In thousands</w:t>
            </w:r>
          </w:p>
        </w:tc>
        <w:tc>
          <w:tcPr>
            <w:tcW w:w="59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Fiscal Year 2022</w:t>
            </w:r>
          </w:p>
        </w:tc>
      </w:tr>
      <w:tr>
        <w:trPr>
          <w:trHeight w:val="250"/>
        </w:trPr>
        <w:tc>
          <w:tcPr>
            <w:tcW w:w="3180" w:type="dxa"/>
            <w:vAlign w:val="bottom"/>
            <w:shd w:val="clear" w:color="auto" w:fill="CCEEFF"/>
          </w:tcPr>
          <w:p>
            <w:pPr>
              <w:ind w:left="80"/>
              <w:spacing w:after="0"/>
              <w:rPr>
                <w:sz w:val="20"/>
                <w:szCs w:val="20"/>
                <w:color w:val="auto"/>
              </w:rPr>
            </w:pPr>
            <w:r>
              <w:rPr>
                <w:rFonts w:ascii="Arial" w:cs="Arial" w:eastAsia="Arial" w:hAnsi="Arial"/>
                <w:sz w:val="20"/>
                <w:szCs w:val="20"/>
                <w:b w:val="1"/>
                <w:bCs w:val="1"/>
                <w:color w:val="auto"/>
              </w:rPr>
              <w:t>Net income</w:t>
            </w:r>
          </w:p>
        </w:tc>
        <w:tc>
          <w:tcPr>
            <w:tcW w:w="6380" w:type="dxa"/>
            <w:vAlign w:val="bottom"/>
            <w:gridSpan w:val="2"/>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42,122</w:t>
            </w:r>
          </w:p>
        </w:tc>
      </w:tr>
      <w:tr>
        <w:trPr>
          <w:trHeight w:val="253"/>
        </w:trPr>
        <w:tc>
          <w:tcPr>
            <w:tcW w:w="3180" w:type="dxa"/>
            <w:vAlign w:val="bottom"/>
          </w:tcPr>
          <w:p>
            <w:pPr>
              <w:ind w:left="80"/>
              <w:spacing w:after="0"/>
              <w:rPr>
                <w:sz w:val="20"/>
                <w:szCs w:val="20"/>
                <w:color w:val="auto"/>
              </w:rPr>
            </w:pPr>
            <w:r>
              <w:rPr>
                <w:rFonts w:ascii="Arial" w:cs="Arial" w:eastAsia="Arial" w:hAnsi="Arial"/>
                <w:sz w:val="20"/>
                <w:szCs w:val="20"/>
                <w:color w:val="auto"/>
              </w:rPr>
              <w:t>Interest expense</w:t>
            </w:r>
          </w:p>
        </w:tc>
        <w:tc>
          <w:tcPr>
            <w:tcW w:w="5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462</w:t>
            </w:r>
          </w:p>
        </w:tc>
      </w:tr>
      <w:tr>
        <w:trPr>
          <w:trHeight w:val="246"/>
        </w:trPr>
        <w:tc>
          <w:tcPr>
            <w:tcW w:w="3180" w:type="dxa"/>
            <w:vAlign w:val="bottom"/>
            <w:shd w:val="clear" w:color="auto" w:fill="CCEEFF"/>
          </w:tcPr>
          <w:p>
            <w:pPr>
              <w:ind w:left="80"/>
              <w:spacing w:after="0"/>
              <w:rPr>
                <w:sz w:val="20"/>
                <w:szCs w:val="20"/>
                <w:color w:val="auto"/>
              </w:rPr>
            </w:pPr>
            <w:r>
              <w:rPr>
                <w:rFonts w:ascii="Arial" w:cs="Arial" w:eastAsia="Arial" w:hAnsi="Arial"/>
                <w:sz w:val="20"/>
                <w:szCs w:val="20"/>
                <w:color w:val="auto"/>
              </w:rPr>
              <w:t>Income tax provision</w:t>
            </w:r>
          </w:p>
        </w:tc>
        <w:tc>
          <w:tcPr>
            <w:tcW w:w="59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18,691</w:t>
            </w:r>
          </w:p>
        </w:tc>
      </w:tr>
      <w:tr>
        <w:trPr>
          <w:trHeight w:val="253"/>
        </w:trPr>
        <w:tc>
          <w:tcPr>
            <w:tcW w:w="3180" w:type="dxa"/>
            <w:vAlign w:val="bottom"/>
            <w:tcBorders>
              <w:bottom w:val="single" w:sz="8" w:color="CCEEFF"/>
            </w:tcBorders>
          </w:tcPr>
          <w:p>
            <w:pPr>
              <w:ind w:left="80"/>
              <w:spacing w:after="0"/>
              <w:rPr>
                <w:sz w:val="20"/>
                <w:szCs w:val="20"/>
                <w:color w:val="auto"/>
              </w:rPr>
            </w:pPr>
            <w:r>
              <w:rPr>
                <w:rFonts w:ascii="Arial" w:cs="Arial" w:eastAsia="Arial" w:hAnsi="Arial"/>
                <w:sz w:val="20"/>
                <w:szCs w:val="20"/>
                <w:color w:val="auto"/>
              </w:rPr>
              <w:t>Depreciation and amortization</w:t>
            </w:r>
          </w:p>
        </w:tc>
        <w:tc>
          <w:tcPr>
            <w:tcW w:w="59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99,956</w:t>
            </w:r>
          </w:p>
        </w:tc>
      </w:tr>
      <w:tr>
        <w:trPr>
          <w:trHeight w:val="253"/>
        </w:trPr>
        <w:tc>
          <w:tcPr>
            <w:tcW w:w="3180" w:type="dxa"/>
            <w:vAlign w:val="bottom"/>
            <w:shd w:val="clear" w:color="auto" w:fill="CCEEFF"/>
          </w:tcPr>
          <w:p>
            <w:pPr>
              <w:ind w:left="80"/>
              <w:spacing w:after="0"/>
              <w:rPr>
                <w:sz w:val="20"/>
                <w:szCs w:val="20"/>
                <w:color w:val="auto"/>
              </w:rPr>
            </w:pPr>
            <w:r>
              <w:rPr>
                <w:rFonts w:ascii="Arial" w:cs="Arial" w:eastAsia="Arial" w:hAnsi="Arial"/>
                <w:sz w:val="20"/>
                <w:szCs w:val="20"/>
                <w:b w:val="1"/>
                <w:bCs w:val="1"/>
                <w:color w:val="auto"/>
              </w:rPr>
              <w:t>EBITDA</w:t>
            </w:r>
          </w:p>
        </w:tc>
        <w:tc>
          <w:tcPr>
            <w:tcW w:w="59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161,231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30" w:right="339" w:bottom="1440" w:gutter="0" w:footer="0" w:header="0"/>
          <w:type w:val="continuous"/>
        </w:sectPr>
      </w:pPr>
    </w:p>
    <w:bookmarkStart w:id="12" w:name="page13"/>
    <w:bookmarkEnd w:id="12"/>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Angie McCabe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investorrelations@nationalvision.com</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(770) 212-7605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Racheal Peters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media@nationalvision.com</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(470) 448-2303</w:t>
      </w:r>
    </w:p>
    <w:p>
      <w:pPr>
        <w:spacing w:after="0" w:line="200" w:lineRule="exact"/>
        <w:rPr>
          <w:sz w:val="20"/>
          <w:szCs w:val="20"/>
          <w:color w:val="auto"/>
        </w:rPr>
      </w:pPr>
    </w:p>
    <w:p>
      <w:pPr>
        <w:sectPr>
          <w:pgSz w:w="11900" w:h="16838" w:orient="portrait"/>
          <w:cols w:equalWidth="0" w:num="2">
            <w:col w:w="4900" w:space="720"/>
            <w:col w:w="449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9</w:t>
      </w:r>
    </w:p>
    <w:sectPr>
      <w:pgSz w:w="11900" w:h="16838" w:orient="portrait"/>
      <w:cols w:equalWidth="0" w:num="1">
        <w:col w:w="10119"/>
      </w:cols>
      <w:pgMar w:left="3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2023-07-26T15:26:21Z</dcterms:created>
  <dcterms:modified xsi:type="dcterms:W3CDTF">2023-07-26T15:26:21Z</dcterms:modified>
</cp:coreProperties>
</file>