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 2021</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51"/>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 xml:space="preserve">Duluth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66"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2021, National Vision Holdings, Inc. (“National Vision”) issued a press release announcing financial results for the quarter and full fiscal year ended January 2,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herewith as Exhibit 99.1 and is incorporated by reference herein.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exhibit,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24"/>
                <w:szCs w:val="24"/>
                <w:color w:val="auto"/>
              </w:rPr>
            </w:pPr>
          </w:p>
        </w:tc>
      </w:tr>
      <w:tr>
        <w:trPr>
          <w:trHeight w:val="245"/>
        </w:trPr>
        <w:tc>
          <w:tcPr>
            <w:tcW w:w="88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99.1</w:t>
              </w:r>
            </w:hyperlink>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March 3, 2021.</w:t>
            </w:r>
          </w:p>
        </w:tc>
      </w:tr>
      <w:tr>
        <w:trPr>
          <w:trHeight w:val="234"/>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2021</w:t>
            </w: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800" w:type="dxa"/>
            <w:vAlign w:val="bottom"/>
          </w:tcPr>
          <w:p>
            <w:pPr>
              <w:spacing w:after="0"/>
              <w:rPr>
                <w:sz w:val="18"/>
                <w:szCs w:val="18"/>
                <w:color w:val="auto"/>
              </w:rPr>
            </w:pP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800" w:type="dxa"/>
            <w:vAlign w:val="bottom"/>
          </w:tcPr>
          <w:p>
            <w:pPr>
              <w:spacing w:after="0"/>
              <w:rPr>
                <w:sz w:val="20"/>
                <w:szCs w:val="20"/>
                <w:color w:val="auto"/>
              </w:rPr>
            </w:pPr>
          </w:p>
        </w:tc>
        <w:tc>
          <w:tcPr>
            <w:tcW w:w="26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Fourth Quarter and Fiscal 2020 Financial Results</w:t>
      </w:r>
    </w:p>
    <w:p>
      <w:pPr>
        <w:spacing w:after="0" w:line="3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 March 3, 2021 --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fourth quarter and fiscal year ended January 2, 2021 and is providing its outlook for fiscal 2021.</w:t>
      </w:r>
    </w:p>
    <w:p>
      <w:pPr>
        <w:spacing w:after="0" w:line="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Note: The fourth quarter of fiscal 2020 consisted of 14 weeks compared with 13 weeks for the prior year. The 14th week added $32.2 million to net revenue and approximately $0.01 to diluted EPS for the quarter and the year. The additional week is not included in comparable store sales growth and Adjusted Comparable Store Sales Growth for the quarter or the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2020 Summary:</w:t>
      </w:r>
    </w:p>
    <w:p>
      <w:pPr>
        <w:spacing w:after="0" w:line="31"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increased 23.6% to $496.7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14.3%; Adjusted Comparable Store Sales Growth of 10.6%</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income increased 795% to $35.1 million; Diluted EPS increased 779% to $0.42</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increased 118% to $83.5 million; Adjusted Operating Income increased 281% to $62.8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increased 372% to $0.45</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balance of $374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Increases America's Best and Eyeglass World whitespace to at least 2,150 stores</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Reade Fahs, chief executive officer, stated, “As I reflect on 2020 in general and the fourth quarter in particular, I could not be more pleased with how the National Vision team rallied to serve our patients and customer’s needs while maintaining a core focus on “safety first.” In the fourth quarter, we once again posted double digit comps. Our low cost eye care and eyewear offerings seem to be even more in demand during this pandemic economy.”</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Fahs continued, “We are excited to announce that, based on independent research, we have raised our long-term projected whitespace opportunity by 300 stores to at least 2,150 locations, allowing us to further increase penetration in both existing and new markets. As a result, we believe America’s Best can grow to at least 1,300 locations - up from our previous estimate of 1,000 - and continue to believe that Eyeglass World can grow to at least 850 stores. With the hastening of industry trends that seem to favor our value-oriented free-standing models, we believe that the optical category in a post-COVID environment remains ripe for our expansion.”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Fahs concluded, “Entering 2021, we are off to a solid start despite severe weather disruptions in February. I want to thank the 2,000-plus affiliated optometrists and over 12,000 associates for their tireless hard work and continued commitment to serve our patients and customers. While significant uncertainty remains, I am confident that we have what it takes to navigate the rest of this pandemic and beyond.”</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EBITDA, Adjusted Operating Income, Adjusted Diluted EPS, Adjusted Operating Margin, and Adjusted EBITDA Margin are not measures recognized under generally accepted accounting principles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Please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Reconciliation of GAAP to Non-GAAP Financial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more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2020 Highlights</w:t>
      </w:r>
    </w:p>
    <w:p>
      <w:pPr>
        <w:spacing w:after="0" w:line="31" w:lineRule="exact"/>
        <w:rPr>
          <w:sz w:val="20"/>
          <w:szCs w:val="20"/>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23.6% to $496.7 million from $401.8 million for the fourth quarter of 2019. Net revenue growth was positively impacted by 2.8% due to the timing of unearned revenue.</w:t>
      </w: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14th week in the fourth quarter of fiscal 2020 added $32.2 million to net revenue and approximately $0.01 to diluted EPS for the quarter and the year.</w:t>
      </w: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14.3% and Adjusted Comparable Store Sales Growth was 10.6%.</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five new stores, closed one store, and ended the quarter with 1,205 stores.</w:t>
      </w:r>
    </w:p>
    <w:p>
      <w:pPr>
        <w:sectPr>
          <w:pgSz w:w="11900" w:h="16838" w:orient="portrait"/>
          <w:cols w:equalWidth="0" w:num="1">
            <w:col w:w="11240"/>
          </w:cols>
          <w:pgMar w:left="320" w:top="117" w:right="339" w:bottom="1440" w:gutter="0" w:footer="0" w:header="0"/>
        </w:sectPr>
      </w:pPr>
    </w:p>
    <w:bookmarkStart w:id="5" w:name="page6"/>
    <w:bookmarkEnd w:id="5"/>
    <w:p>
      <w:pPr>
        <w:jc w:val="both"/>
        <w:ind w:left="340" w:right="20" w:hanging="332"/>
        <w:spacing w:after="0" w:line="257"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15.4% to $216.5 million from $187.5 million for the fourth quarter of 2019. As a percentage of net revenue, costs applicable to revenue decreased 310 basis points to 43.6% from 46.7% for the fourth quarter of 2019. This decrease, as a percentage of net revenue, was primarily driven by increased eyeglass mix, higher eyeglass margin, and lower growth in optometrist costs.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(“SG&amp;A”) increased 12.2% to $199.8 million from $178.0 million for the fourth quarter of 2019. As a percentage of net revenue, SG&amp;A decreased 410 basis points to 40.2% from 44.3% for the fourth quarter of 2019. This decrease, as a percentage of net revenue, was driven by store and corporate payroll expense, occupancy expense and corporate overhead leverage. SG&amp;A for the fourth quarter of 2020 was impacted by $0.8 million of incremental costs directly related to adapting the Company’s operations during the COVID-19 pandemic.</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increased 795% to $35.1 million compared to $3.9 million for the fourth quarter of 2019.</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per share increased 779% to $0.42 compared to $0.05 for the fourth quarter of 2019. Adjusted Diluted EPS increased 372% to $0.45 compared to $0.09 for the fourth quarter of 2019. The net change in margin on unearned revenue benefited Adjusted Diluted EPS by $0.07.</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118% to $83.5 million compared to $38.3 million for the fourth quarter of 2019. Adjusted EBITDA Margin increased 730 basis points to 16.8% from 9.5% for the fourth quarter of 2019.</w:t>
      </w:r>
    </w:p>
    <w:p>
      <w:pPr>
        <w:jc w:val="both"/>
        <w:ind w:left="340" w:hanging="332"/>
        <w:spacing w:after="0" w:line="25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281% to $62.8 million compared to $16.5 million for the fourth quarter of 2019. Adjusted Operating Margin increased 850 basis points to 12.6% from 4.1% for the fourth quarter of 2019. The net change in margin on unearned revenue benefited Adjusted EBITDA and Adjusted Operating Income by $8.9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Highlights</w:t>
      </w:r>
    </w:p>
    <w:p>
      <w:pPr>
        <w:spacing w:after="0" w:line="31" w:lineRule="exact"/>
        <w:rPr>
          <w:sz w:val="20"/>
          <w:szCs w:val="20"/>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0.7% to $1.71 billion from $1.72 billion for fiscal year 2019. Net revenue growth was negatively impacted by 0.2% due to the timing of unearned revenue.</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(5.6)% and Adjusted Comparable Store Sales Growth was (6.1)%.</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57 stores, transitioned five Vision Centers in Walmart stores to its management, closed eight stores and ended the period with 1,205 stores. Overall, store count grew 4.7% from December 29, 2019 to January 2, 2021. In July, the Company entered into an amendment to its existing Management &amp; Services Agreement (“MSA”) with Walmart Inc. that extended the current term and economics of the MSA by three years to February 23,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decreased 2.5% to $786.6 million from $806.5 million for fiscal year 2019. As a percentage of net revenue, costs applicable to revenue decreased 80 basis points to 46.0% from 46.8% for fiscal year 2019. This decrease as a percentage of net revenue was primarily driven by higher eyeglass margin, partially offset by increased contact lens mix and optometrist costs incurred during temporary store closures in response to the COVID-19 pandemic.</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decreased 3.2% to $720.6 million from $744.5 million for fiscal year 2019. As a percentage of net revenue, SG&amp;A decreased 110 basis points to 42.1% from 43.2% for fiscal year 2019. This decrease as a percentage of net revenue was primarily driven by lower advertising investment partially offset by store and corporate payroll and occupancy expenses incurred during temporary store closures. SG&amp;A for fiscal 2020 includes $8.6 million of incremental costs directly related to adapting the Company’s operations during the COVID-19 pandemic.</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increased 10.6% to $36.3 million compared to $32.8 million for fiscal year 2019.</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per share increased 9.1% to $0.44 compared to $0.40 for fiscal year 2019. Adjusted Diluted EPS increased 21.9% to $0.91 compared to $0.75 for fiscal year 2019. The net change in margin on unearned revenue negatively impacted Adjusted Diluted EPS by $0.02.</w:t>
      </w: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12.4% to $218.3 million compared to $194.1 million for fiscal year 2019. Adjusted EBITDA Margin increased 150 basis points to 12.8% from 11.3% for fiscal year 2019.</w:t>
      </w: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17.4% to $134.1 million compared to $114.3 million for fiscal year 2019. Adjusted Operating Margin increased 120 basis points to 7.8% from 6.6% for 2019. The net change in margin on unearned revenue negatively impacted Adjusted EBITDA and Adjusted Operating Income by $2.8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31" w:lineRule="exact"/>
        <w:rPr>
          <w:sz w:val="20"/>
          <w:szCs w:val="20"/>
          <w:color w:val="auto"/>
        </w:rPr>
      </w:pP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balance was $373.9 million as of January 2, 2021. The Company had no borrowings under its $300.0 million first lien revolving credit facility, exclusive of letters of credit of $6.4 million.</w:t>
      </w: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$655.4 million as of January 2, 2021, consisting of outstanding first lien term loans, convertible senior notes and finance lease obligations, net of unamortized discounts.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2020 increased to $235.0 million compared to $165.1 million for 2019.</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2020 totaled $76.8 million compared to $101.3 million for 2019, primarily due to a delay in the timing of new store capital investments.</w:t>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Fiscal 2021 Outlook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continuing its practice of providing selected full year guidance for 2021 and the outlook reflects current expected impacts related to COVID. However, the Company anticipates potential significant volatility driven by ongoing uncertainty related to the pandemic. The outlook currently assumes no material deterioration as a result of COVID, government actions and regulations, including potential changes to the federal minimum wage and federal tax rate.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the following outlook for the 52 weeks ending January 1, 2022, compared to the 53 weeks ending January 2, 2021:</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5240" w:type="dxa"/>
            <w:vAlign w:val="bottom"/>
            <w:tcBorders>
              <w:bottom w:val="single" w:sz="8" w:color="CCEEFF"/>
            </w:tcBorders>
          </w:tcPr>
          <w:p>
            <w:pPr>
              <w:spacing w:after="0"/>
              <w:rPr>
                <w:sz w:val="20"/>
                <w:szCs w:val="20"/>
                <w:color w:val="auto"/>
              </w:rPr>
            </w:pP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2021 Outlook</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75</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 - 16%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$1.93 - $1.98 billion</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$130 - $137 million</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2</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$0.88 - $0.93</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$97 - $98 million</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4</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$28 million</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5</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5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$100 - $105 million</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 For the 52 weeks ending January 1,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2 - Assumes approximately 96 million shares, including 12.9 million shares for the convertible notes under the if-converted method</w:t>
      </w:r>
    </w:p>
    <w:p>
      <w:pPr>
        <w:spacing w:after="0" w:line="23" w:lineRule="exact"/>
        <w:rPr>
          <w:sz w:val="20"/>
          <w:szCs w:val="20"/>
          <w:color w:val="auto"/>
        </w:rPr>
      </w:pPr>
    </w:p>
    <w:p>
      <w:pPr>
        <w:jc w:val="both"/>
        <w:ind w:left="400" w:right="400"/>
        <w:spacing w:after="0" w:line="234" w:lineRule="auto"/>
        <w:rPr>
          <w:sz w:val="20"/>
          <w:szCs w:val="20"/>
          <w:color w:val="auto"/>
        </w:rPr>
      </w:pPr>
      <w:r>
        <w:rPr>
          <w:rFonts w:ascii="Times New Roman" w:cs="Times New Roman" w:eastAsia="Times New Roman" w:hAnsi="Times New Roman"/>
          <w:sz w:val="18"/>
          <w:szCs w:val="18"/>
          <w:color w:val="auto"/>
        </w:rPr>
        <w:t>3 - Includes amortization of acquisition intangibles of approximately $7.5 million, which is excluded in the definition of Adjusted Operating Income</w:t>
      </w:r>
    </w:p>
    <w:p>
      <w:pPr>
        <w:spacing w:after="0" w:line="1" w:lineRule="exact"/>
        <w:rPr>
          <w:sz w:val="20"/>
          <w:szCs w:val="20"/>
          <w:color w:val="auto"/>
        </w:rPr>
      </w:pPr>
    </w:p>
    <w:p>
      <w:pPr>
        <w:jc w:val="both"/>
        <w:ind w:left="400" w:right="400"/>
        <w:spacing w:after="0" w:line="234" w:lineRule="auto"/>
        <w:rPr>
          <w:sz w:val="20"/>
          <w:szCs w:val="20"/>
          <w:color w:val="auto"/>
        </w:rPr>
      </w:pPr>
      <w:r>
        <w:rPr>
          <w:rFonts w:ascii="Times New Roman" w:cs="Times New Roman" w:eastAsia="Times New Roman" w:hAnsi="Times New Roman"/>
          <w:sz w:val="18"/>
          <w:szCs w:val="18"/>
          <w:color w:val="auto"/>
        </w:rPr>
        <w:t>4 - Before the impact of gains or losses related to hedge ineffectiveness and charges related to amortization of debt discounts and deferred financing costs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5 - Excluding the impact of stock option exercises</w:t>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2021 outlook information provided above includes Adjusted Operating Income and Adjusted Diluted EPS,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potentially be significant.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fiscal 2021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2021 outlook. The Company uses these forward looking measures internally to assess and benchmark its results and strategic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 conference call to discuss the fourth quarter 2020 financial results is scheduled for today, March 3, 2021, at 10:00 a.m. Eastern Time. The U.S. toll free dial-in for the conference call is 866-754-6931 and the international dial-in is 636-812-6625. The conference passcode is 6395554. A live audio webcast of the conference call will be available on the “Investor” section of the Company’s website </w:t>
      </w:r>
      <w:r>
        <w:rPr>
          <w:rFonts w:ascii="Times New Roman" w:cs="Times New Roman" w:eastAsia="Times New Roman" w:hAnsi="Times New Roman"/>
          <w:sz w:val="18"/>
          <w:szCs w:val="18"/>
          <w:u w:val="single" w:color="auto"/>
          <w:color w:val="006EBF"/>
        </w:rPr>
        <w:t>www.nationalvision.com/investors</w:t>
      </w:r>
      <w:r>
        <w:rPr>
          <w:rFonts w:ascii="Times New Roman" w:cs="Times New Roman" w:eastAsia="Times New Roman" w:hAnsi="Times New Roman"/>
          <w:sz w:val="18"/>
          <w:szCs w:val="18"/>
          <w:color w:val="auto"/>
        </w:rPr>
        <w:t>, where presentation materials will be posted prior to the conference call.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telephone replay will be available shortly after the broadcast through Wednesday, March 10, 2021, by dialing 855-859-2056 from the U.S. or 404-537-3406 from international locations, and entering conference passcode 6395554. A replay of the audio webcast will also be archived on the “Investors” section of the Company’s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Holdings, Inc. is one of the largest optical retail companies in the United States with more than 1,200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2021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the impact of evolving federal, state, and local governmental actions in response thereto; customer behavior in response to the continuing pandemic and its resurgence, including the impact of such behavior on in-store traffic and sales; our ability to keep our reopened stores open in a safe and cost-effective manner, or at all, in light of the continuing COVID-19 pandemic and its resurgence;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other factors impacting consumer spending;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Operating Income,” “Adjusted Operating Margin,” “Adjusted Diluted EPS,” “Adjusted Comparable Stores Sales Growth,” “Adjusted SG&amp;A,” and “Adjusted SG&amp;A Percent of Net Revenue.” We believe EBITDA, Adjusted EBITDA, Adjusted EBITDA Margin, Adjusted Operating Income, Adjusted Operating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w:t>
      </w:r>
    </w:p>
    <w:p>
      <w:pPr>
        <w:sectPr>
          <w:pgSz w:w="11900" w:h="16838" w:orient="portrait"/>
          <w:cols w:equalWidth="0" w:num="1">
            <w:col w:w="11240"/>
          </w:cols>
          <w:pgMar w:left="320" w:top="927"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2020, we introduced Adjusted Operating Income and Adjusted Operating Margin as measures of performance we will use in connection with Adjusted EBITDA, Adjusted EBITDA Margin and Adjusted Diluted EPS. We believe Adjusted Operating Income and Adjusted Operating Margin enhance an understanding of our performance by highlighting the results from ongoing operations and the profitability of our business. Further, consistent with our presentation of Adjusted Operating Income, beginning with the first quarter of 2020, we no longer exclude new store pre-opening expenses and non-cash rent from our presentation of Adjusted EBITDA, Adjusted SG&amp;A, and Adjusted Diluted EPS. See our Form 8-K filed with the SEC on February 26, 2020 for more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(loss), plus interest expense, income tax provision (benefit), and depreciation and amortization.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plus interest expense, income tax provision (benefit) and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further adjusted to exclude stock compensation expense, loss on extinguishment of debt, asset impairment, litigation settlement, secondary offering expenses, management realignment expenses, long-term incentive plan expenses, and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as net income (loss), plus interest expense and income tax provision (benefit),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to exclude stock compensation expense, loss on extinguishment of debt, asset impairment, litigation settlement, secondary offering expenses, management realignment expenses, long-term incentive plan expenses, amortization of acquisition intangibles, and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diluted earnings (loss) per share, adjusted for the per share impact of stock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loss on extinguishment of debt, asset impairment, litigation settlement, secondary offering expenses, management realignment expenses, long-term incentive plan expenses, amortization of acquisition intangibles, amortization of debt discount and deferred financing costs, losses (gains) on change in fair value of derivatives, other expenses, and tax benefit of stock option exercises, less the tax effect of these adjustments.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 compensation expense, secondary offering expenses,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realignment expenses, long-term incentive plan expenses, and other expenses except for the share of losses on equity method investments.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as a percentage of net revenue.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w:t>
      </w:r>
    </w:p>
    <w:p>
      <w:pPr>
        <w:sectPr>
          <w:pgSz w:w="11900" w:h="16838" w:orient="portrait"/>
          <w:cols w:equalWidth="0" w:num="1">
            <w:col w:w="11240"/>
          </w:cols>
          <w:pgMar w:left="320" w:top="931"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in 2020 as a result of the COVID-19 pandemic.</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Adjusted Operating Income, Adjusted Operating Margin, Adjusted Diluted EPS, Adjusted SG&amp;A, Adjusted SG&amp;A Percent of Net Revenue and Adjusted Comparable Store Sales Growth are not recognized terms under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January 2, 2021 and December 28,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35"/>
        </w:trPr>
        <w:tc>
          <w:tcPr>
            <w:tcW w:w="71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w w:val="99"/>
              </w:rPr>
              <w:t>January 2, 2021</w:t>
            </w:r>
          </w:p>
        </w:tc>
        <w:tc>
          <w:tcPr>
            <w:tcW w:w="200" w:type="dxa"/>
            <w:vAlign w:val="bottom"/>
          </w:tcPr>
          <w:p>
            <w:pPr>
              <w:spacing w:after="0"/>
              <w:rPr>
                <w:sz w:val="11"/>
                <w:szCs w:val="11"/>
                <w:color w:val="auto"/>
              </w:rPr>
            </w:pPr>
          </w:p>
        </w:tc>
        <w:tc>
          <w:tcPr>
            <w:tcW w:w="1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December 28, 2019</w:t>
            </w:r>
          </w:p>
        </w:tc>
        <w:tc>
          <w:tcPr>
            <w:tcW w:w="0" w:type="dxa"/>
            <w:vAlign w:val="bottom"/>
          </w:tcPr>
          <w:p>
            <w:pPr>
              <w:spacing w:after="0"/>
              <w:rPr>
                <w:sz w:val="1"/>
                <w:szCs w:val="1"/>
                <w:color w:val="auto"/>
              </w:rPr>
            </w:pPr>
          </w:p>
        </w:tc>
      </w:tr>
      <w:tr>
        <w:trPr>
          <w:trHeight w:val="95"/>
        </w:trPr>
        <w:tc>
          <w:tcPr>
            <w:tcW w:w="7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1,798,086</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2,032,725</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51,937</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273,179</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and finance lease obligations, less current portion and debt discount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555,933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operating lease obligations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331,769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95,407</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82,183 and 80,603 shares issued as</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of January 2, 2021 and December 28, 2019, respectively; 81,239 and 79,678 shares outstanding</w:t>
            </w:r>
          </w:p>
        </w:tc>
        <w:tc>
          <w:tcPr>
            <w:tcW w:w="2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of January 2, 2021 and December 28, 2019, respectively</w:t>
            </w:r>
          </w:p>
        </w:tc>
        <w:tc>
          <w:tcPr>
            <w:tcW w:w="2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700,121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107,132</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943 and 925 shares as of January 2, 2021 and December 28, 2019,</w:t>
            </w:r>
          </w:p>
        </w:tc>
        <w:tc>
          <w:tcPr>
            <w:tcW w:w="2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776,437</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2,032,725</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Fiscal year 2020 includes 53 weeks. Fiscal year 2019 includes 52 weeks.</w:t>
      </w:r>
    </w:p>
    <w:p>
      <w:pPr>
        <w:sectPr>
          <w:pgSz w:w="11900" w:h="16838" w:orient="portrait"/>
          <w:cols w:equalWidth="0" w:num="1">
            <w:col w:w="11240"/>
          </w:cols>
          <w:pgMar w:left="320" w:top="846" w:right="339" w:bottom="1440" w:gutter="0" w:footer="0" w:header="0"/>
        </w:sectPr>
      </w:pPr>
    </w:p>
    <w:bookmarkStart w:id="11" w:name="page12"/>
    <w:bookmarkEnd w:id="11"/>
    <w:p>
      <w:pPr>
        <w:jc w:val="center"/>
        <w:ind w:left="340" w:right="2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National Vision Holdings, Inc. and Subsidiaries Consolidated Statements of Operations and Comprehensive Income For the Three Months and Fiscal Years Ended January 2, 2021 and December 28, 2019 </w:t>
      </w:r>
      <w:r>
        <w:rPr>
          <w:rFonts w:ascii="Times New Roman" w:cs="Times New Roman" w:eastAsia="Times New Roman" w:hAnsi="Times New Roman"/>
          <w:sz w:val="18"/>
          <w:szCs w:val="18"/>
          <w:i w:val="1"/>
          <w:iCs w:val="1"/>
          <w:color w:val="auto"/>
        </w:rPr>
        <w:t>In Thousands, Except Earnings Per Share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Three Months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Three Months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Ended</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Ended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14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January 2, 2021</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December 28,</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Fiscal Year 2020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Fiscal Year 2019</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2019 (Unaudited)</w:t>
            </w:r>
          </w:p>
        </w:tc>
        <w:tc>
          <w:tcPr>
            <w:tcW w:w="1440" w:type="dxa"/>
            <w:vAlign w:val="bottom"/>
            <w:gridSpan w:val="3"/>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412,399</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1,426,136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298,195</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1,724,331</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574,351</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232,168</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806,519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744,488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87,244</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844,237</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73,575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38,680</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78,608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provision (benefit) of unrealized gain (loss) on hedge instruments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Fiscal year 2020 includes 53 weeks. Fiscal years 2019 include 52 weeks.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Three months ended January 2, 2021 include 14 weeks. Three months ended December 28, 2019 include 13 weeks.</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i w:val="1"/>
          <w:iCs w:val="1"/>
          <w:color w:val="auto"/>
        </w:rPr>
        <w:t>Fourth quarter 2020 diluted EPS is calculated using the if-converted method for the 2025 Notes adding back $5.3 million of interest expense (after tax) related to the 2025 Notes, and assuming conversion of the 2025 Notes at the beginning of the fourth quarter of 2020.</w:t>
      </w:r>
    </w:p>
    <w:p>
      <w:pPr>
        <w:sectPr>
          <w:pgSz w:w="11900" w:h="16838" w:orient="portrait"/>
          <w:cols w:equalWidth="0" w:num="1">
            <w:col w:w="11240"/>
          </w:cols>
          <w:pgMar w:left="320" w:top="84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Years Ended January 2, 2021 and December 28,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Year 2020</w:t>
            </w:r>
          </w:p>
        </w:tc>
        <w:tc>
          <w:tcPr>
            <w:tcW w:w="1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Fiscal Year 2019</w:t>
            </w:r>
          </w:p>
        </w:tc>
      </w:tr>
      <w:tr>
        <w:trPr>
          <w:trHeight w:val="199"/>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32,798</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87,244</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8,894</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loss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(15,886)</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7,353</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234,981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165,081</w:t>
            </w:r>
          </w:p>
        </w:tc>
      </w:tr>
      <w:tr>
        <w:trPr>
          <w:trHeight w:val="19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(101,325)</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(100,631)</w:t>
            </w:r>
          </w:p>
        </w:tc>
      </w:tr>
      <w:tr>
        <w:trPr>
          <w:trHeight w:val="19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8"/>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long-term debt, net of discounts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566,550</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(591,925)</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(25,646)</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21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176,281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(42,141)</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22,309</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year</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17,998</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375,159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2"/>
        </w:trPr>
        <w:tc>
          <w:tcPr>
            <w:tcW w:w="8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(received) for taxes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 acquired under finance leases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9,713</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assets acquired under operating leases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108,712</w:t>
            </w: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consolidated balance sheets to the total of cash, cash equivalents and restricted cash shown above: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Fiscal Year 2020</w:t>
            </w:r>
          </w:p>
        </w:tc>
        <w:tc>
          <w:tcPr>
            <w:tcW w:w="1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Fiscal Year 2019</w:t>
            </w:r>
          </w:p>
        </w:tc>
      </w:tr>
      <w:tr>
        <w:trPr>
          <w:trHeight w:val="213"/>
        </w:trPr>
        <w:tc>
          <w:tcPr>
            <w:tcW w:w="8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39,342</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Fiscal year 2020 includes 53 weeks. Fiscal year 2019 includes 52 weeks.</w:t>
      </w:r>
    </w:p>
    <w:p>
      <w:pPr>
        <w:sectPr>
          <w:pgSz w:w="11900" w:h="16838" w:orient="portrait"/>
          <w:cols w:equalWidth="0" w:num="1">
            <w:col w:w="11240"/>
          </w:cols>
          <w:pgMar w:left="320" w:top="846"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and Fiscal Years Ended January 2, 2021 and December 28,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to Net Income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7"/>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6"/>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98"/>
              </w:rPr>
              <w:t>Three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color w:val="auto"/>
              </w:rPr>
              <w:t>Fiscal Year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Fiscal Year 2019</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January 2, 2021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December 28, 2019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3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32,798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3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3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3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(h)</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3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6,370</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156"/>
        </w:trPr>
        <w:tc>
          <w:tcPr>
            <w:tcW w:w="386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Adjusted Operating Income / Adjusted Operating</w:t>
            </w:r>
          </w:p>
        </w:tc>
        <w:tc>
          <w:tcPr>
            <w:tcW w:w="2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360" w:type="dxa"/>
            <w:vAlign w:val="bottom"/>
            <w:shd w:val="clear" w:color="auto" w:fill="CCEEFF"/>
          </w:tcPr>
          <w:p>
            <w:pPr>
              <w:spacing w:after="0"/>
              <w:rPr>
                <w:sz w:val="13"/>
                <w:szCs w:val="13"/>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20" w:type="dxa"/>
            <w:vAlign w:val="bottom"/>
            <w:vMerge w:val="restart"/>
            <w:shd w:val="clear" w:color="auto" w:fill="CCEEFF"/>
          </w:tcPr>
          <w:p>
            <w:pPr>
              <w:spacing w:after="0"/>
              <w:rPr>
                <w:sz w:val="13"/>
                <w:szCs w:val="13"/>
                <w:color w:val="auto"/>
              </w:rPr>
            </w:pPr>
          </w:p>
        </w:tc>
        <w:tc>
          <w:tcPr>
            <w:tcW w:w="9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134,148</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114,300</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Margin</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2"/>
            <w:vMerge w:val="continue"/>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CCEEFF"/>
            </w:tcBorders>
            <w:gridSpan w:val="3"/>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gridSpan w:val="2"/>
            <w:vMerge w:val="continue"/>
            <w:shd w:val="clear" w:color="auto" w:fill="CCEEFF"/>
          </w:tcPr>
          <w:p>
            <w:pPr>
              <w:spacing w:after="0"/>
              <w:rPr>
                <w:sz w:val="19"/>
                <w:szCs w:val="19"/>
                <w:color w:val="auto"/>
              </w:rPr>
            </w:pPr>
          </w:p>
        </w:tc>
        <w:tc>
          <w:tcPr>
            <w:tcW w:w="820" w:type="dxa"/>
            <w:vAlign w:val="bottom"/>
            <w:tcBorders>
              <w:bottom w:val="single" w:sz="8" w:color="CCEEFF"/>
            </w:tcBorders>
            <w:gridSpan w:val="3"/>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gridSpan w:val="2"/>
            <w:vMerge w:val="continue"/>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3"/>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680" w:type="dxa"/>
            <w:vAlign w:val="bottom"/>
            <w:gridSpan w:val="6"/>
          </w:tcPr>
          <w:p>
            <w:pPr>
              <w:ind w:left="20"/>
              <w:spacing w:after="0" w:line="82" w:lineRule="exact"/>
              <w:rPr>
                <w:sz w:val="20"/>
                <w:szCs w:val="20"/>
                <w:color w:val="auto"/>
              </w:rPr>
            </w:pPr>
            <w:r>
              <w:rPr>
                <w:rFonts w:ascii="Times New Roman" w:cs="Times New Roman" w:eastAsia="Times New Roman" w:hAnsi="Times New Roman"/>
                <w:sz w:val="9"/>
                <w:szCs w:val="9"/>
                <w:i w:val="1"/>
                <w:iCs w:val="1"/>
                <w:color w:val="auto"/>
              </w:rPr>
              <w:t>Note: Fiscal year 2020 includes 53 weeks. Fiscal year 2019 includes 52 weeks.</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060" w:type="dxa"/>
            <w:vAlign w:val="bottom"/>
            <w:gridSpan w:val="16"/>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Three months ended January 2, 2021 includes 14 weeks. Three months ended December 28, 2019 includes 13 weeks.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gridSpan w:val="7"/>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Percentages reflect line item as a percentage of net revenue, adjusted for rounding.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320" w:type="dxa"/>
            <w:vAlign w:val="bottom"/>
            <w:gridSpan w:val="9"/>
          </w:tcPr>
          <w:p>
            <w:pPr>
              <w:ind w:left="2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6"/>
        </w:trPr>
        <w:tc>
          <w:tcPr>
            <w:tcW w:w="5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to Net Income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auto"/>
              </w:rPr>
              <w:t>Fiscal Year 2020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Fiscal Year 2019</w:t>
            </w:r>
          </w:p>
        </w:tc>
        <w:tc>
          <w:tcPr>
            <w:tcW w:w="0" w:type="dxa"/>
            <w:vAlign w:val="bottom"/>
          </w:tcPr>
          <w:p>
            <w:pPr>
              <w:spacing w:after="0"/>
              <w:rPr>
                <w:sz w:val="1"/>
                <w:szCs w:val="1"/>
                <w:color w:val="auto"/>
              </w:rPr>
            </w:pPr>
          </w:p>
        </w:tc>
      </w:tr>
      <w:tr>
        <w:trPr>
          <w:trHeight w:val="230"/>
        </w:trPr>
        <w:tc>
          <w:tcPr>
            <w:tcW w:w="33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January 2, 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7"/>
          </w:tcPr>
          <w:p>
            <w:pPr>
              <w:jc w:val="right"/>
              <w:ind w:right="150"/>
              <w:spacing w:after="0"/>
              <w:rPr>
                <w:sz w:val="20"/>
                <w:szCs w:val="20"/>
                <w:color w:val="auto"/>
              </w:rPr>
            </w:pPr>
            <w:r>
              <w:rPr>
                <w:rFonts w:ascii="Times New Roman" w:cs="Times New Roman" w:eastAsia="Times New Roman" w:hAnsi="Times New Roman"/>
                <w:sz w:val="18"/>
                <w:szCs w:val="18"/>
                <w:color w:val="auto"/>
              </w:rPr>
              <w:t>December 28, 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35,078</w:t>
            </w: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4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w:t>
            </w: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4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48,171</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2,403</w:t>
            </w: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4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91,585</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79,489</w:t>
            </w:r>
          </w:p>
        </w:tc>
        <w:tc>
          <w:tcPr>
            <w:tcW w:w="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w:t>
            </w:r>
          </w:p>
        </w:tc>
        <w:tc>
          <w:tcPr>
            <w:tcW w:w="4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178,436</w:t>
            </w:r>
          </w:p>
        </w:tc>
        <w:tc>
          <w:tcPr>
            <w:tcW w:w="3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151,033</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gridSpan w:val="3"/>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gridSpan w:val="3"/>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4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4,395</w:t>
            </w: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4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2,732</w:t>
            </w:r>
          </w:p>
        </w:tc>
        <w:tc>
          <w:tcPr>
            <w:tcW w:w="3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EBITDA/ Adjusted EBITDA</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83,508</w:t>
            </w:r>
          </w:p>
        </w:tc>
        <w:tc>
          <w:tcPr>
            <w:tcW w:w="9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16.8 %</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38,311</w:t>
            </w:r>
          </w:p>
        </w:tc>
        <w:tc>
          <w:tcPr>
            <w:tcW w:w="40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420" w:type="dxa"/>
            <w:vAlign w:val="bottom"/>
            <w:gridSpan w:val="2"/>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218,307</w:t>
            </w:r>
          </w:p>
        </w:tc>
        <w:tc>
          <w:tcPr>
            <w:tcW w:w="3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194,139</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80" w:type="dxa"/>
            <w:vAlign w:val="bottom"/>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00" w:type="dxa"/>
            <w:vAlign w:val="bottom"/>
            <w:gridSpan w:val="4"/>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line="211" w:lineRule="auto"/>
        <w:rPr>
          <w:sz w:val="20"/>
          <w:szCs w:val="20"/>
          <w:color w:val="auto"/>
        </w:rPr>
      </w:pPr>
      <w:r>
        <w:rPr>
          <w:rFonts w:ascii="Times New Roman" w:cs="Times New Roman" w:eastAsia="Times New Roman" w:hAnsi="Times New Roman"/>
          <w:sz w:val="14"/>
          <w:szCs w:val="14"/>
          <w:i w:val="1"/>
          <w:iCs w:val="1"/>
          <w:color w:val="auto"/>
        </w:rPr>
        <w:t>Note: Fiscal year 2020 includes 53 weeks. Fiscal year 2019 include 52 weeks.</w:t>
      </w:r>
    </w:p>
    <w:p>
      <w:pPr>
        <w:ind w:left="20"/>
        <w:spacing w:after="0" w:line="201" w:lineRule="auto"/>
        <w:rPr>
          <w:sz w:val="20"/>
          <w:szCs w:val="20"/>
          <w:color w:val="auto"/>
        </w:rPr>
      </w:pPr>
      <w:r>
        <w:rPr>
          <w:rFonts w:ascii="Times New Roman" w:cs="Times New Roman" w:eastAsia="Times New Roman" w:hAnsi="Times New Roman"/>
          <w:sz w:val="14"/>
          <w:szCs w:val="14"/>
          <w:i w:val="1"/>
          <w:iCs w:val="1"/>
          <w:color w:val="auto"/>
        </w:rPr>
        <w:t>Three months ended January 2, 2021 includes 14 weeks. Three months ended December 28, 2019 includes 13 weeks.</w:t>
      </w:r>
    </w:p>
    <w:p>
      <w:pPr>
        <w:ind w:left="20"/>
        <w:spacing w:after="0" w:line="201" w:lineRule="auto"/>
        <w:rPr>
          <w:sz w:val="20"/>
          <w:szCs w:val="20"/>
          <w:color w:val="auto"/>
        </w:rPr>
      </w:pPr>
      <w:r>
        <w:rPr>
          <w:rFonts w:ascii="Times New Roman" w:cs="Times New Roman" w:eastAsia="Times New Roman" w:hAnsi="Times New Roman"/>
          <w:sz w:val="14"/>
          <w:szCs w:val="14"/>
          <w:i w:val="1"/>
          <w:iCs w:val="1"/>
          <w:color w:val="auto"/>
        </w:rPr>
        <w:t>Percentages reflect line item as a percentage of net revenue, adjusted for rounding.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p>
      <w:pPr>
        <w:sectPr>
          <w:pgSz w:w="11900" w:h="16838" w:orient="portrait"/>
          <w:cols w:equalWidth="0" w:num="1">
            <w:col w:w="11240"/>
          </w:cols>
          <w:pgMar w:left="320" w:top="84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to Diluted EPS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3"/>
                <w:szCs w:val="23"/>
                <w:color w:val="auto"/>
              </w:rPr>
            </w:pPr>
          </w:p>
        </w:tc>
        <w:tc>
          <w:tcPr>
            <w:tcW w:w="176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Fiscal Year 2020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Fiscal Year 2019</w:t>
            </w: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January 2, 2021</w:t>
            </w:r>
          </w:p>
        </w:tc>
        <w:tc>
          <w:tcPr>
            <w:tcW w:w="100" w:type="dxa"/>
            <w:vAlign w:val="bottom"/>
          </w:tcPr>
          <w:p>
            <w:pPr>
              <w:spacing w:after="0"/>
              <w:rPr>
                <w:sz w:val="19"/>
                <w:szCs w:val="19"/>
                <w:color w:val="auto"/>
              </w:rPr>
            </w:pPr>
          </w:p>
        </w:tc>
        <w:tc>
          <w:tcPr>
            <w:tcW w:w="17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rPr>
              <w:t>December 28, 2019</w:t>
            </w:r>
          </w:p>
        </w:tc>
        <w:tc>
          <w:tcPr>
            <w:tcW w:w="162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0.42</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(h)</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176"/>
        </w:trPr>
        <w:tc>
          <w:tcPr>
            <w:tcW w:w="40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debt discounts and deferred financing</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5"/>
                <w:szCs w:val="15"/>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(i)</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gridSpan w:val="4"/>
            <w:vMerge w:val="continue"/>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w w:val="98"/>
              </w:rPr>
              <w:t xml:space="preserve">Losses (gains) on change in fair value of derivatives </w:t>
            </w:r>
            <w:r>
              <w:rPr>
                <w:rFonts w:ascii="Times New Roman" w:cs="Times New Roman" w:eastAsia="Times New Roman" w:hAnsi="Times New Roman"/>
                <w:sz w:val="23"/>
                <w:szCs w:val="23"/>
                <w:color w:val="auto"/>
                <w:w w:val="98"/>
                <w:vertAlign w:val="superscript"/>
              </w:rPr>
              <w:t>(j)</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3"/>
                <w:szCs w:val="23"/>
                <w:color w:val="auto"/>
                <w:vertAlign w:val="superscript"/>
              </w:rPr>
              <w:t>(l)</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(m)</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C2C2C"/>
              </w:rPr>
              <w:t>95,925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C2C2C"/>
              </w:rPr>
              <w:t>81,785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C2C2C"/>
              </w:rPr>
              <w:t>82,793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81,683</w:t>
            </w:r>
          </w:p>
        </w:tc>
        <w:tc>
          <w:tcPr>
            <w:tcW w:w="0" w:type="dxa"/>
            <w:vAlign w:val="bottom"/>
          </w:tcPr>
          <w:p>
            <w:pPr>
              <w:spacing w:after="0"/>
              <w:rPr>
                <w:sz w:val="1"/>
                <w:szCs w:val="1"/>
                <w:color w:val="auto"/>
              </w:rPr>
            </w:pPr>
          </w:p>
        </w:tc>
      </w:tr>
      <w:tr>
        <w:trPr>
          <w:trHeight w:val="146"/>
        </w:trPr>
        <w:tc>
          <w:tcPr>
            <w:tcW w:w="482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4"/>
                <w:szCs w:val="14"/>
                <w:i w:val="1"/>
                <w:iCs w:val="1"/>
                <w:color w:val="auto"/>
              </w:rPr>
              <w:t>Note: Fiscal year 2020 includes 53 weeks. Fiscal year 2019 include 52 weeks.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60" w:type="dxa"/>
            <w:vAlign w:val="bottom"/>
            <w:gridSpan w:val="12"/>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auto"/>
              </w:rPr>
              <w:t>Three months ended January 2, 2021 includes 14 weeks. Three months ended December 28, 2019 includes 13 weeks.</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820" w:type="dxa"/>
            <w:vAlign w:val="bottom"/>
            <w:gridSpan w:val="5"/>
          </w:tcPr>
          <w:p>
            <w:pPr>
              <w:ind w:left="20"/>
              <w:spacing w:after="0"/>
              <w:rPr>
                <w:sz w:val="20"/>
                <w:szCs w:val="20"/>
                <w:color w:val="auto"/>
              </w:rPr>
            </w:pPr>
            <w:r>
              <w:rPr>
                <w:rFonts w:ascii="Times New Roman" w:cs="Times New Roman" w:eastAsia="Times New Roman" w:hAnsi="Times New Roman"/>
                <w:sz w:val="14"/>
                <w:szCs w:val="14"/>
                <w:i w:val="1"/>
                <w:iCs w:val="1"/>
                <w:color w:val="auto"/>
              </w:rPr>
              <w:t>Some of the totals in the table above do not foot due to rounding differences.</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0"/>
        </w:trPr>
        <w:tc>
          <w:tcPr>
            <w:tcW w:w="7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SG&amp;A and Adjusted SG&amp;A Percent of Net Revenue to SG&amp;A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Fiscal Year 2020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Fiscal Year 2019</w:t>
            </w:r>
          </w:p>
        </w:tc>
        <w:tc>
          <w:tcPr>
            <w:tcW w:w="0" w:type="dxa"/>
            <w:vAlign w:val="bottom"/>
          </w:tcPr>
          <w:p>
            <w:pPr>
              <w:spacing w:after="0"/>
              <w:rPr>
                <w:sz w:val="1"/>
                <w:szCs w:val="1"/>
                <w:color w:val="auto"/>
              </w:rPr>
            </w:pPr>
          </w:p>
        </w:tc>
      </w:tr>
      <w:tr>
        <w:trPr>
          <w:trHeight w:val="230"/>
        </w:trPr>
        <w:tc>
          <w:tcPr>
            <w:tcW w:w="3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January 2, 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color w:val="auto"/>
                <w:w w:val="98"/>
              </w:rPr>
              <w:t>December 28, 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199,750</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178,044</w:t>
            </w: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44.3%</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720,590</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744,488</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(n)</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155"/>
        </w:trPr>
        <w:tc>
          <w:tcPr>
            <w:tcW w:w="39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SG&amp;A/ Adjusted SG&amp;A Percent of</w:t>
            </w:r>
          </w:p>
        </w:tc>
        <w:tc>
          <w:tcPr>
            <w:tcW w:w="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196,839</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39.6%</w:t>
            </w:r>
          </w:p>
        </w:tc>
        <w:tc>
          <w:tcPr>
            <w:tcW w:w="180" w:type="dxa"/>
            <w:vAlign w:val="bottom"/>
            <w:gridSpan w:val="2"/>
            <w:vMerge w:val="restart"/>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173,841</w:t>
            </w:r>
          </w:p>
        </w:tc>
        <w:tc>
          <w:tcPr>
            <w:tcW w:w="1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26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707,274</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721,867</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Note: Fiscal year 2020 includes 53 weeks. Fiscal year 2019 include 52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-94615</wp:posOffset>
            </wp:positionV>
            <wp:extent cx="617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-94615</wp:posOffset>
            </wp:positionV>
            <wp:extent cx="617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-94615</wp:posOffset>
            </wp:positionV>
            <wp:extent cx="617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-94615</wp:posOffset>
            </wp:positionV>
            <wp:extent cx="582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i w:val="1"/>
          <w:iCs w:val="1"/>
          <w:color w:val="auto"/>
        </w:rPr>
        <w:t>Three months ended January 2, 2021 includes 14 weeks. Three months ended December 28, 2019 includes 13 weeks.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Percentages reflect line item as a percentage of net revenue.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Some of the percentage totals in the table above do not foot due to rounding differences.</w:t>
      </w:r>
    </w:p>
    <w:p>
      <w:pPr>
        <w:spacing w:after="0" w:line="200" w:lineRule="exact"/>
        <w:rPr>
          <w:sz w:val="20"/>
          <w:szCs w:val="20"/>
          <w:color w:val="auto"/>
        </w:rPr>
      </w:pPr>
    </w:p>
    <w:p>
      <w:pPr>
        <w:spacing w:after="0" w:line="258"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2019, reflects write-off of deferred financing fees related to the extinguishment of debt.</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equipment and lease-related assets on closed or underperforming stores.</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litigation.</w:t>
      </w:r>
    </w:p>
    <w:p>
      <w:pPr>
        <w:spacing w:after="0" w:line="1" w:lineRule="exact"/>
        <w:rPr>
          <w:rFonts w:ascii="Times New Roman" w:cs="Times New Roman" w:eastAsia="Times New Roman" w:hAnsi="Times New Roman"/>
          <w:sz w:val="14"/>
          <w:szCs w:val="14"/>
          <w:color w:val="auto"/>
        </w:rPr>
      </w:pPr>
    </w:p>
    <w:p>
      <w:pPr>
        <w:ind w:left="420" w:hanging="4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during fiscal year 2019.</w:t>
      </w:r>
    </w:p>
    <w:p>
      <w:pPr>
        <w:spacing w:after="0" w:line="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non-recurring management realignment described on Form 8-K filed with the SEC on January 10, 2019.</w:t>
      </w:r>
    </w:p>
    <w:p>
      <w:pPr>
        <w:spacing w:after="0" w:line="1" w:lineRule="exact"/>
        <w:rPr>
          <w:rFonts w:ascii="Times New Roman" w:cs="Times New Roman" w:eastAsia="Times New Roman" w:hAnsi="Times New Roman"/>
          <w:sz w:val="14"/>
          <w:szCs w:val="14"/>
          <w:color w:val="auto"/>
        </w:rPr>
      </w:pPr>
    </w:p>
    <w:p>
      <w:pPr>
        <w:ind w:left="420" w:right="660" w:hanging="412"/>
        <w:spacing w:after="0" w:line="241" w:lineRule="auto"/>
        <w:tabs>
          <w:tab w:leader="none" w:pos="4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pursuant to a long-term incentive plan for non-executive employees who were not participants in the management equity plan for fiscal year 2019. This plan was effective in 2014 following the KKR Acquisition.</w:t>
      </w: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to the KKR Acquisition.</w:t>
      </w:r>
    </w:p>
    <w:p>
      <w:pPr>
        <w:sectPr>
          <w:pgSz w:w="11900" w:h="16838" w:orient="portrait"/>
          <w:cols w:equalWidth="0" w:num="1">
            <w:col w:w="11240"/>
          </w:cols>
          <w:pgMar w:left="320" w:top="833" w:right="339" w:bottom="1440" w:gutter="0" w:footer="0" w:header="0"/>
        </w:sectPr>
      </w:pPr>
    </w:p>
    <w:bookmarkStart w:id="15" w:name="page16"/>
    <w:bookmarkEnd w:id="15"/>
    <w:p>
      <w:pPr>
        <w:jc w:val="both"/>
        <w:ind w:left="412" w:hanging="412"/>
        <w:spacing w:after="0" w:line="249" w:lineRule="auto"/>
        <w:tabs>
          <w:tab w:leader="none" w:pos="39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debt discounts is associated with the amortization of the conversion feature related to the convertible note and amortization of deferred financing costs related to the convertible notes, term loan and revolving credit facility borrowings. Amortization of debt discount and deferred financing costs in aggregate total of $0.3 million and $0.2 million for the three months ended January 2, 2021 and December 28, 2019, and $11.9 million and $1.3 million for the fiscal years 2020 and 2019, respectively.</w:t>
      </w:r>
    </w:p>
    <w:p>
      <w:pPr>
        <w:ind w:left="412" w:right="20" w:hanging="412"/>
        <w:spacing w:after="0" w:line="241" w:lineRule="auto"/>
        <w:tabs>
          <w:tab w:leader="none" w:pos="39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losses (gains) recognized in interest expense on change in fair value of de-designated hedges of $(0.6) million for the three months ended January 2, 2021, and $4.0 million for fiscal year end 2020.</w:t>
      </w:r>
    </w:p>
    <w:p>
      <w:pPr>
        <w:jc w:val="both"/>
        <w:ind w:left="412" w:hanging="412"/>
        <w:spacing w:after="0" w:line="241" w:lineRule="auto"/>
        <w:tabs>
          <w:tab w:leader="none" w:pos="4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the following amounts that management believes are not representative of our operating performance (amounts in brackets represent reductions in Adjusted Operating Income, Adjusted Diluted EPS and Adjusted EBITDA) including our share of losses on equity method investments of $0.6 million for the three months ended December 28, 2019, and $1.8 million for fiscal year 2019; the amortization impact related to the KKR Acquisition (e.g., fair value of leasehold interests) of $0.1 million and $0.2 million, for the three months ended January 2, 2021 and December 28, 2019, and $0.4 million and $0.5 million for fiscal years 2020 and 2019, respectively; costs of severance and relocation of $0.1 million and $0.6 million, for the three months ended January 2, 2021 and December 28, 2019, and $1.3 million and $2.3 million and fiscal years 2020 and 2019, respectively; excess payroll taxes related to stock option exercises of $0.2 million for each of the three months ended January 2, 2021 and December 28, 2019, and $0.7 million and $0.8 million for fiscal years 2020 and 2019, respectively; incremental costs directly related to adapting the Company’s operations during the COVID-19 pandemic of $0.6 million for fiscal year 2020; and other expenses and adjustments totaling $0.1 million and $0.4 million for the three months ended January 2, 2021 and December 28, 2019, respectively and $(0.3) million and $1.0 million for fiscal years 2020 and 2019, respectively.</w:t>
      </w:r>
    </w:p>
    <w:p>
      <w:pPr>
        <w:spacing w:after="0" w:line="3" w:lineRule="exact"/>
        <w:rPr>
          <w:rFonts w:ascii="Times New Roman" w:cs="Times New Roman" w:eastAsia="Times New Roman" w:hAnsi="Times New Roman"/>
          <w:sz w:val="14"/>
          <w:szCs w:val="14"/>
          <w:color w:val="auto"/>
        </w:rPr>
      </w:pPr>
    </w:p>
    <w:p>
      <w:pPr>
        <w:ind w:left="412" w:right="20" w:hanging="412"/>
        <w:spacing w:after="0" w:line="241" w:lineRule="auto"/>
        <w:tabs>
          <w:tab w:leader="none" w:pos="39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requiring excess tax benefits related to stock option exercises to be recorded in earnings as discrete items in the reporting period in which they occur.</w:t>
      </w:r>
    </w:p>
    <w:p>
      <w:pPr>
        <w:ind w:left="392" w:hanging="392"/>
        <w:spacing w:after="0"/>
        <w:tabs>
          <w:tab w:leader="none" w:pos="39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 w:lineRule="exact"/>
        <w:rPr>
          <w:rFonts w:ascii="Times New Roman" w:cs="Times New Roman" w:eastAsia="Times New Roman" w:hAnsi="Times New Roman"/>
          <w:sz w:val="14"/>
          <w:szCs w:val="14"/>
          <w:color w:val="auto"/>
        </w:rPr>
      </w:pPr>
    </w:p>
    <w:p>
      <w:pPr>
        <w:ind w:left="412" w:hanging="412"/>
        <w:spacing w:after="0" w:line="258" w:lineRule="auto"/>
        <w:tabs>
          <w:tab w:leader="none" w:pos="4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(k) above, except for our share of losses on equity method investments of $0.6 million for the three months ended December 28, 2019 and $1.8 million for fiscal year 2019, and immaterial debt issuance costs for the three months ended January 2, 2021 and $0.2 million for fiscal year 2020.</w:t>
      </w:r>
    </w:p>
    <w:p>
      <w:pPr>
        <w:sectPr>
          <w:pgSz w:w="11900" w:h="16838" w:orient="portrait"/>
          <w:cols w:equalWidth="0" w:num="1">
            <w:col w:w="10592"/>
          </w:cols>
          <w:pgMar w:left="328" w:top="846" w:right="9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5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color w:val="auto"/>
              </w:rPr>
              <w:t xml:space="preserve">Comparable store sales growth </w:t>
            </w:r>
            <w:r>
              <w:rPr>
                <w:rFonts w:ascii="Times New Roman" w:cs="Times New Roman" w:eastAsia="Times New Roman" w:hAnsi="Times New Roman"/>
                <w:sz w:val="23"/>
                <w:szCs w:val="23"/>
                <w:color w:val="auto"/>
                <w:vertAlign w:val="superscript"/>
              </w:rPr>
              <w:t>(a)</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Three Months</w:t>
            </w:r>
          </w:p>
        </w:tc>
        <w:tc>
          <w:tcPr>
            <w:tcW w:w="14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6"/>
            <w:vMerge w:val="continue"/>
          </w:tcPr>
          <w:p>
            <w:pPr>
              <w:spacing w:after="0"/>
              <w:rPr>
                <w:sz w:val="15"/>
                <w:szCs w:val="15"/>
                <w:color w:val="auto"/>
              </w:rPr>
            </w:pP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Ended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5"/>
          </w:tcPr>
          <w:p>
            <w:pPr>
              <w:jc w:val="center"/>
              <w:ind w:right="500"/>
              <w:spacing w:after="0" w:line="176" w:lineRule="exact"/>
              <w:rPr>
                <w:sz w:val="20"/>
                <w:szCs w:val="20"/>
                <w:color w:val="auto"/>
              </w:rPr>
            </w:pPr>
            <w:r>
              <w:rPr>
                <w:rFonts w:ascii="Times New Roman" w:cs="Times New Roman" w:eastAsia="Times New Roman" w:hAnsi="Times New Roman"/>
                <w:sz w:val="18"/>
                <w:szCs w:val="18"/>
                <w:color w:val="auto"/>
                <w:w w:val="99"/>
              </w:rPr>
              <w:t>Ended</w:t>
            </w: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December 28,</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Fiscal Year 2020</w:t>
            </w: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Fiscal Year 2019</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2021 Outlook</w:t>
            </w:r>
          </w:p>
        </w:tc>
        <w:tc>
          <w:tcPr>
            <w:tcW w:w="0" w:type="dxa"/>
            <w:vAlign w:val="bottom"/>
          </w:tcPr>
          <w:p>
            <w:pPr>
              <w:spacing w:after="0"/>
              <w:rPr>
                <w:sz w:val="1"/>
                <w:szCs w:val="1"/>
                <w:color w:val="auto"/>
              </w:rPr>
            </w:pPr>
          </w:p>
        </w:tc>
      </w:tr>
      <w:tr>
        <w:trPr>
          <w:trHeight w:val="22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80" w:type="dxa"/>
            <w:vAlign w:val="bottom"/>
          </w:tcPr>
          <w:p>
            <w:pPr>
              <w:spacing w:after="0"/>
              <w:rPr>
                <w:sz w:val="19"/>
                <w:szCs w:val="19"/>
                <w:color w:val="auto"/>
              </w:rPr>
            </w:pPr>
          </w:p>
        </w:tc>
        <w:tc>
          <w:tcPr>
            <w:tcW w:w="138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color w:val="auto"/>
              </w:rPr>
              <w:t>January 2, 2021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13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13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13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13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3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3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 - 15%</w:t>
            </w:r>
          </w:p>
        </w:tc>
        <w:tc>
          <w:tcPr>
            <w:tcW w:w="0" w:type="dxa"/>
            <w:vAlign w:val="bottom"/>
          </w:tcPr>
          <w:p>
            <w:pPr>
              <w:spacing w:after="0"/>
              <w:rPr>
                <w:sz w:val="1"/>
                <w:szCs w:val="1"/>
                <w:color w:val="auto"/>
              </w:rPr>
            </w:pPr>
          </w:p>
        </w:tc>
      </w:tr>
      <w:tr>
        <w:trPr>
          <w:trHeight w:val="30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Comparable Store Sales Growth </w:t>
            </w:r>
            <w:r>
              <w:rPr>
                <w:rFonts w:ascii="Times New Roman" w:cs="Times New Roman" w:eastAsia="Times New Roman" w:hAnsi="Times New Roman"/>
                <w:sz w:val="23"/>
                <w:szCs w:val="23"/>
                <w:color w:val="auto"/>
                <w:vertAlign w:val="superscript"/>
              </w:rPr>
              <w:t>(b)</w:t>
            </w:r>
          </w:p>
        </w:tc>
        <w:tc>
          <w:tcPr>
            <w:tcW w:w="13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 - 16%</w:t>
            </w:r>
          </w:p>
        </w:tc>
        <w:tc>
          <w:tcPr>
            <w:tcW w:w="0" w:type="dxa"/>
            <w:vAlign w:val="bottom"/>
          </w:tcPr>
          <w:p>
            <w:pPr>
              <w:spacing w:after="0"/>
              <w:rPr>
                <w:sz w:val="1"/>
                <w:szCs w:val="1"/>
                <w:color w:val="auto"/>
              </w:rPr>
            </w:pPr>
          </w:p>
        </w:tc>
      </w:tr>
      <w:tr>
        <w:trPr>
          <w:trHeight w:val="382"/>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Additional Comparable Store Sales Growth information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Seven Months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3"/>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1"/>
              </w:rPr>
              <w:t>Ended January</w:t>
            </w:r>
          </w:p>
        </w:tc>
        <w:tc>
          <w:tcPr>
            <w:tcW w:w="60" w:type="dxa"/>
            <w:vAlign w:val="bottom"/>
            <w:tcBorders>
              <w:bottom w:val="single" w:sz="8" w:color="auto"/>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for Last Seven Months of 2020</w:t>
            </w:r>
          </w:p>
        </w:tc>
        <w:tc>
          <w:tcPr>
            <w:tcW w:w="80" w:type="dxa"/>
            <w:vAlign w:val="bottom"/>
          </w:tcPr>
          <w:p>
            <w:pPr>
              <w:spacing w:after="0"/>
              <w:rPr>
                <w:sz w:val="13"/>
                <w:szCs w:val="13"/>
                <w:color w:val="auto"/>
              </w:rPr>
            </w:pPr>
          </w:p>
        </w:tc>
        <w:tc>
          <w:tcPr>
            <w:tcW w:w="1140" w:type="dxa"/>
            <w:vAlign w:val="bottom"/>
            <w:gridSpan w:val="4"/>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2, 2021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3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Comparable Store Sales Growth </w:t>
            </w:r>
            <w:r>
              <w:rPr>
                <w:rFonts w:ascii="Times New Roman" w:cs="Times New Roman" w:eastAsia="Times New Roman" w:hAnsi="Times New Roman"/>
                <w:sz w:val="23"/>
                <w:szCs w:val="23"/>
                <w:color w:val="auto"/>
                <w:vertAlign w:val="superscript"/>
              </w:rPr>
              <w:t>(b)</w:t>
            </w:r>
          </w:p>
        </w:tc>
        <w:tc>
          <w:tcPr>
            <w:tcW w:w="13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
        <w:spacing w:after="0" w:line="237" w:lineRule="auto"/>
        <w:rPr>
          <w:sz w:val="20"/>
          <w:szCs w:val="20"/>
          <w:color w:val="auto"/>
        </w:rPr>
      </w:pPr>
      <w:r>
        <w:rPr>
          <w:rFonts w:ascii="Times New Roman" w:cs="Times New Roman" w:eastAsia="Times New Roman" w:hAnsi="Times New Roman"/>
          <w:sz w:val="14"/>
          <w:szCs w:val="14"/>
          <w:i w:val="1"/>
          <w:iCs w:val="1"/>
          <w:color w:val="auto"/>
        </w:rPr>
        <w:t>Note: Fiscal year 2020 includes 53 weeks. Fiscal year 2019 includes 52 weeks.</w:t>
      </w:r>
    </w:p>
    <w:p>
      <w:pPr>
        <w:ind w:left="20"/>
        <w:spacing w:after="0"/>
        <w:rPr>
          <w:sz w:val="20"/>
          <w:szCs w:val="20"/>
          <w:color w:val="auto"/>
        </w:rPr>
      </w:pPr>
      <w:r>
        <w:rPr>
          <w:rFonts w:ascii="Times New Roman" w:cs="Times New Roman" w:eastAsia="Times New Roman" w:hAnsi="Times New Roman"/>
          <w:sz w:val="14"/>
          <w:szCs w:val="14"/>
          <w:i w:val="1"/>
          <w:iCs w:val="1"/>
          <w:color w:val="auto"/>
        </w:rPr>
        <w:t>Three months ended January 2, 2021 includes 14 weeks. Three months ended December 28, 2019 includes 13 weeks.</w:t>
      </w:r>
    </w:p>
    <w:p>
      <w:pPr>
        <w:spacing w:after="0" w:line="188" w:lineRule="exact"/>
        <w:rPr>
          <w:sz w:val="20"/>
          <w:szCs w:val="20"/>
          <w:color w:val="auto"/>
        </w:rPr>
      </w:pPr>
    </w:p>
    <w:p>
      <w:pPr>
        <w:jc w:val="both"/>
        <w:ind w:left="340" w:hanging="332"/>
        <w:spacing w:after="0" w:line="248" w:lineRule="auto"/>
        <w:tabs>
          <w:tab w:leader="none" w:pos="33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consolidated financial statements, with the exception of the Legacy segment, which is adjusted as noted in (b) (ii) below.</w:t>
      </w:r>
    </w:p>
    <w:p>
      <w:pPr>
        <w:spacing w:after="0" w:line="160" w:lineRule="exact"/>
        <w:rPr>
          <w:rFonts w:ascii="Times New Roman" w:cs="Times New Roman" w:eastAsia="Times New Roman" w:hAnsi="Times New Roman"/>
          <w:sz w:val="14"/>
          <w:szCs w:val="14"/>
          <w:color w:val="auto"/>
        </w:rPr>
      </w:pPr>
    </w:p>
    <w:p>
      <w:pPr>
        <w:jc w:val="both"/>
        <w:ind w:left="340" w:hanging="332"/>
        <w:spacing w:after="0" w:line="243"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3.3% and a decrease of 1.9% for the three months ended January 2, 2021 and December 28, 2019, respectively, and a decrease of 0.4% and a decrease of 0.1% for the fiscal year 2020 and fiscal year 2019, respectively, and a decrease of 0.2% for the seven months ended January 2, 2021, (ii) Adjusted Comparable Store Sales Growth includes retail sales to the Legacy partner’s customers (rather than the revenues recognized consistent with the management &amp; services agreement with the legacy partner), resulting the following changes from total comparable store sales growth based on consolidated net revenue: a decrease of 0.4% and a decrease of 0.1% for the three months ended January 2, 2021 and December 28, 2019, respectively, and a decrease of 0.1% and a decrease of 0.2% for the fiscal years 2020 and 2019, respectively, and a decrease of 0.3% for the seven months ended January 2, 2021, and (iii) with respect to the Company’s 2021 Outlook, Adjusted Comparable Store Sales Growth includes an estimated 1.0% impact for the effect of deferred and unearned income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1240"/>
          </w:cols>
          <w:pgMar w:left="320" w:top="84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Mann, CFA, Vice President of Investor Relations</w:t>
      </w:r>
    </w:p>
    <w:p>
      <w:pPr>
        <w:spacing w:after="0" w:line="21" w:lineRule="exact"/>
        <w:rPr>
          <w:sz w:val="20"/>
          <w:szCs w:val="20"/>
          <w:color w:val="auto"/>
        </w:rPr>
      </w:pPr>
    </w:p>
    <w:p>
      <w:pPr>
        <w:ind w:right="7359" w:firstLine="8"/>
        <w:spacing w:after="0" w:line="290" w:lineRule="auto"/>
        <w:tabs>
          <w:tab w:leader="none" w:pos="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448-2448 investor.relations@nationalvision.com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 Manager of External Communications</w:t>
      </w:r>
    </w:p>
    <w:p>
      <w:pPr>
        <w:spacing w:after="0" w:line="9" w:lineRule="exact"/>
        <w:rPr>
          <w:sz w:val="20"/>
          <w:szCs w:val="20"/>
          <w:color w:val="auto"/>
        </w:rPr>
      </w:pPr>
    </w:p>
    <w:p>
      <w:pPr>
        <w:ind w:right="8159"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448-2303 media@nationalvision.com</w:t>
      </w:r>
    </w:p>
    <w:sectPr>
      <w:pgSz w:w="11900" w:h="16838" w:orient="portrait"/>
      <w:cols w:equalWidth="0" w:num="1">
        <w:col w:w="10139"/>
      </w:cols>
      <w:pgMar w:left="320" w:top="9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2021-03-03T06:08:23Z</dcterms:created>
  <dcterms:modified xsi:type="dcterms:W3CDTF">2021-03-03T06:08:23Z</dcterms:modified>
</cp:coreProperties>
</file>