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FAHS L READE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22"/>
              <w:spacing w:after="0"/>
              <w:rPr>
                <w:sz w:val="20"/>
                <w:szCs w:val="20"/>
                <w:color w:val="auto"/>
              </w:rPr>
            </w:pPr>
            <w:r>
              <w:rPr>
                <w:rFonts w:ascii="Arial" w:cs="Arial" w:eastAsia="Arial" w:hAnsi="Arial"/>
                <w:sz w:val="18"/>
                <w:szCs w:val="18"/>
                <w:color w:val="0000FF"/>
              </w:rPr>
              <w:t>773,037</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622"/>
              <w:spacing w:after="0"/>
              <w:rPr>
                <w:sz w:val="20"/>
                <w:szCs w:val="20"/>
                <w:color w:val="auto"/>
              </w:rPr>
            </w:pPr>
            <w:r>
              <w:rPr>
                <w:rFonts w:ascii="Arial" w:cs="Arial" w:eastAsia="Arial" w:hAnsi="Arial"/>
                <w:sz w:val="18"/>
                <w:szCs w:val="18"/>
                <w:color w:val="0000FF"/>
              </w:rPr>
              <w:t>203,430</w:t>
            </w:r>
          </w:p>
        </w:tc>
        <w:tc>
          <w:tcPr>
            <w:tcW w:w="920" w:type="dxa"/>
            <w:vAlign w:val="bottom"/>
          </w:tcPr>
          <w:p>
            <w:pPr>
              <w:ind w:left="70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Held by Trust</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4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4"/>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28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244,117</w:t>
            </w:r>
          </w:p>
        </w:tc>
        <w:tc>
          <w:tcPr>
            <w:tcW w:w="880" w:type="dxa"/>
            <w:vAlign w:val="bottom"/>
          </w:tcPr>
          <w:p>
            <w:pPr>
              <w:ind w:left="280"/>
              <w:spacing w:after="0"/>
              <w:rPr>
                <w:sz w:val="20"/>
                <w:szCs w:val="20"/>
                <w:color w:val="auto"/>
              </w:rPr>
            </w:pPr>
            <w:r>
              <w:rPr>
                <w:rFonts w:ascii="Arial" w:cs="Arial" w:eastAsia="Arial" w:hAnsi="Arial"/>
                <w:sz w:val="18"/>
                <w:szCs w:val="18"/>
                <w:color w:val="0000FF"/>
              </w:rPr>
              <w:t>4.27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will vest in two equal annual installments on March 13, 2018 and 2019. An additional 915,438 stock options which remain subject to liquidity-event performance-based vesting conditions are not included in the table above.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an Update Passphrase request.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210"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00" w:lineRule="exact"/>
        <w:rPr>
          <w:sz w:val="20"/>
          <w:szCs w:val="20"/>
          <w:color w:val="auto"/>
        </w:rPr>
      </w:pPr>
    </w:p>
    <w:p>
      <w:pPr>
        <w:spacing w:after="0" w:line="24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October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1664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64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181253"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2019-12-23T21:46:04Z</dcterms:created>
  <dcterms:modified xsi:type="dcterms:W3CDTF">2019-12-23T21:46:04Z</dcterms:modified>
</cp:coreProperties>
</file>