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8-K</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Earliest Event reported): December 13, 2025 (December 16, 2025)</w:t>
      </w:r>
    </w:p>
    <w:p>
      <w:pPr>
        <w:spacing w:after="0" w:line="20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National Vision Holdings,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96" w:right="339" w:bottom="1440" w:gutter="0" w:footer="0" w:header="0"/>
        </w:sectPr>
      </w:pPr>
    </w:p>
    <w:p>
      <w:pPr>
        <w:spacing w:after="0" w:line="180"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14"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001-38257</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46-4841717</w:t>
      </w:r>
    </w:p>
    <w:p>
      <w:pPr>
        <w:spacing w:after="0" w:line="14"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5" w:lineRule="exact"/>
        <w:rPr>
          <w:sz w:val="24"/>
          <w:szCs w:val="24"/>
          <w:color w:val="auto"/>
        </w:rPr>
      </w:pPr>
    </w:p>
    <w:p>
      <w:pPr>
        <w:sectPr>
          <w:pgSz w:w="11900" w:h="16838" w:orient="portrait"/>
          <w:cols w:equalWidth="0" w:num="3">
            <w:col w:w="3840" w:space="720"/>
            <w:col w:w="2800" w:space="720"/>
            <w:col w:w="3160"/>
          </w:cols>
          <w:pgMar w:left="320" w:top="696" w:right="3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240"/>
          </w:cols>
          <w:pgMar w:left="320" w:top="696" w:right="339" w:bottom="1440" w:gutter="0" w:footer="0" w:header="0"/>
          <w:type w:val="continuous"/>
        </w:sectPr>
      </w:pP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2435 Commerce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Bldg. 2200</w:t>
      </w:r>
    </w:p>
    <w:p>
      <w:pPr>
        <w:jc w:val="center"/>
        <w:spacing w:after="0" w:line="234" w:lineRule="auto"/>
        <w:rPr>
          <w:sz w:val="20"/>
          <w:szCs w:val="20"/>
          <w:color w:val="auto"/>
        </w:rPr>
      </w:pPr>
      <w:r>
        <w:rPr>
          <w:rFonts w:ascii="Arial" w:cs="Arial" w:eastAsia="Arial" w:hAnsi="Arial"/>
          <w:sz w:val="18"/>
          <w:szCs w:val="18"/>
          <w:b w:val="1"/>
          <w:bCs w:val="1"/>
          <w:color w:val="auto"/>
        </w:rPr>
        <w:t>Duluth, Georgia 30096-4980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822-3600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0" w:lineRule="exact"/>
        <w:rPr>
          <w:sz w:val="24"/>
          <w:szCs w:val="24"/>
          <w:color w:val="auto"/>
        </w:rPr>
      </w:pPr>
    </w:p>
    <w:p>
      <w:pPr>
        <w:ind w:right="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9" w:lineRule="exact"/>
        <w:rPr>
          <w:sz w:val="24"/>
          <w:szCs w:val="24"/>
          <w:color w:val="auto"/>
        </w:rPr>
      </w:pPr>
    </w:p>
    <w:tbl>
      <w:tblPr>
        <w:tblLayout w:type="fixed"/>
        <w:tblInd w:w="590" w:type="dxa"/>
        <w:tblCellMar>
          <w:top w:w="0" w:type="dxa"/>
          <w:left w:w="0" w:type="dxa"/>
          <w:bottom w:w="0" w:type="dxa"/>
          <w:right w:w="0" w:type="dxa"/>
        </w:tblCellMar>
      </w:tblPr>
      <w:tr>
        <w:trPr>
          <w:trHeight w:val="224"/>
        </w:trPr>
        <w:tc>
          <w:tcPr>
            <w:tcW w:w="3720" w:type="dxa"/>
            <w:vAlign w:val="bottom"/>
            <w:tcBorders>
              <w:top w:val="single" w:sz="8" w:color="auto"/>
              <w:left w:val="single" w:sz="8" w:color="auto"/>
              <w:right w:val="single" w:sz="8" w:color="auto"/>
            </w:tcBorders>
          </w:tcPr>
          <w:p>
            <w:pPr>
              <w:spacing w:after="0"/>
              <w:rPr>
                <w:sz w:val="19"/>
                <w:szCs w:val="19"/>
                <w:color w:val="auto"/>
              </w:rPr>
            </w:pPr>
          </w:p>
        </w:tc>
        <w:tc>
          <w:tcPr>
            <w:tcW w:w="2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Trading</w:t>
            </w: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 of each exchange on which</w:t>
            </w:r>
          </w:p>
        </w:tc>
      </w:tr>
      <w:tr>
        <w:trPr>
          <w:trHeight w:val="248"/>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Symbol(s)</w:t>
            </w:r>
          </w:p>
        </w:tc>
        <w:tc>
          <w:tcPr>
            <w:tcW w:w="3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registered</w:t>
            </w:r>
          </w:p>
        </w:tc>
      </w:tr>
      <w:tr>
        <w:trPr>
          <w:trHeight w:val="246"/>
        </w:trPr>
        <w:tc>
          <w:tcPr>
            <w:tcW w:w="37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Common stock, par value $0.01 per share</w:t>
            </w:r>
          </w:p>
        </w:tc>
        <w:tc>
          <w:tcPr>
            <w:tcW w:w="266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EYE</w:t>
            </w:r>
          </w:p>
        </w:tc>
        <w:tc>
          <w:tcPr>
            <w:tcW w:w="3720" w:type="dxa"/>
            <w:vAlign w:val="bottom"/>
            <w:tcBorders>
              <w:bottom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Nasdaq</w:t>
            </w:r>
          </w:p>
        </w:tc>
      </w:tr>
    </w:tbl>
    <w:p>
      <w:pPr>
        <w:spacing w:after="0" w:line="184"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8"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98"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On December 13, 2025, National Vision, Inc. (the “Subsidiary”), a Georgia corporation and a subsidiary of National Vision Holdings, Inc. (the “Company”), and Essilor of America, Inc., (“Essilor”), a Delaware corporation, entered into Amendment No. 3 (the “Amendment”) to the Letter Agreement dated November 12, 2018, by and between the Subsidiary and Essilor, as subsequently amended (the “Letter Agreement”).</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Amendment amends the Letter Agreement to, among other things, extend the initial term by two years from May 31, 2026, to May 31, 2028, and update pricing terms.</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foregoing description of the Amendment is qualified in its entirety by reference to the full text of the Amendment, which is filed as Exhibit 10.1 hereto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No. Description</w:t>
      </w:r>
    </w:p>
    <w:p>
      <w:pPr>
        <w:spacing w:after="0" w:line="198" w:lineRule="exact"/>
        <w:rPr>
          <w:sz w:val="20"/>
          <w:szCs w:val="20"/>
          <w:color w:val="auto"/>
        </w:rPr>
      </w:pPr>
    </w:p>
    <w:p>
      <w:pPr>
        <w:ind w:left="880" w:right="240" w:hanging="863"/>
        <w:spacing w:after="0" w:line="271" w:lineRule="auto"/>
        <w:tabs>
          <w:tab w:leader="none" w:pos="86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8"/>
          <w:szCs w:val="18"/>
          <w:u w:val="single" w:color="auto"/>
          <w:color w:val="0000EE"/>
        </w:rPr>
        <w:t>Third Amendment to the Direct Lens Letter Agreement, dated December 13, 2025, by and between Essilor of America, Inc. and National Vision, Inc.</w:t>
      </w:r>
    </w:p>
    <w:p>
      <w:pPr>
        <w:spacing w:after="0" w:line="140" w:lineRule="exact"/>
        <w:rPr>
          <w:sz w:val="20"/>
          <w:szCs w:val="20"/>
          <w:color w:val="auto"/>
        </w:rPr>
      </w:pPr>
    </w:p>
    <w:p>
      <w:pPr>
        <w:ind w:right="1580" w:firstLine="8"/>
        <w:spacing w:after="0" w:line="506" w:lineRule="auto"/>
        <w:tabs>
          <w:tab w:leader="none" w:pos="8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 Certain identified information has been excluded from the exhibit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National Vision Holdings, Inc.</w:t>
      </w:r>
    </w:p>
    <w:p>
      <w:pPr>
        <w:spacing w:after="0" w:line="198"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December 16,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Jared Brandman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Jared Brandman</w:t>
      </w: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Legal &amp; Strategy Officer,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ind w:left="80" w:firstLine="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portion of this exhibit marked with “[***]” has been excluded pursuant to Item 601(b)(10)(iv) of Regulation S-K because such information is (i) not material and (ii) the type of information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AMENDMENT TO DIRECT LENS LETTER AGREEMENT</w:t>
      </w:r>
    </w:p>
    <w:p>
      <w:pPr>
        <w:spacing w:after="0" w:line="229" w:lineRule="exact"/>
        <w:rPr>
          <w:sz w:val="20"/>
          <w:szCs w:val="20"/>
          <w:color w:val="auto"/>
        </w:rPr>
      </w:pPr>
    </w:p>
    <w:p>
      <w:pPr>
        <w:jc w:val="both"/>
        <w:ind w:left="100" w:right="100" w:firstLine="647"/>
        <w:spacing w:after="0" w:line="266" w:lineRule="auto"/>
        <w:rPr>
          <w:sz w:val="20"/>
          <w:szCs w:val="20"/>
          <w:color w:val="auto"/>
        </w:rPr>
      </w:pPr>
      <w:r>
        <w:rPr>
          <w:rFonts w:ascii="Times New Roman" w:cs="Times New Roman" w:eastAsia="Times New Roman" w:hAnsi="Times New Roman"/>
          <w:sz w:val="18"/>
          <w:szCs w:val="18"/>
          <w:color w:val="auto"/>
        </w:rPr>
        <w:t>This Third Amendment to the Direct Lens Letter Agreement (the “Third Amendment”), dated effective as of January 1, 2026 (“Effective Date”), is by and between Essilor of America, Inc., (“Essilor”), a Delaware corporation, and National Vision, Inc. (“NVI”), a Georgia corporation, and provides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 :</w:t>
      </w:r>
    </w:p>
    <w:p>
      <w:pPr>
        <w:spacing w:after="0" w:line="225" w:lineRule="exact"/>
        <w:rPr>
          <w:sz w:val="20"/>
          <w:szCs w:val="20"/>
          <w:color w:val="auto"/>
        </w:rPr>
      </w:pPr>
    </w:p>
    <w:p>
      <w:pPr>
        <w:jc w:val="both"/>
        <w:ind w:left="100" w:right="100" w:firstLine="647"/>
        <w:spacing w:after="0" w:line="282" w:lineRule="auto"/>
        <w:rPr>
          <w:sz w:val="20"/>
          <w:szCs w:val="20"/>
          <w:color w:val="auto"/>
        </w:rPr>
      </w:pPr>
      <w:r>
        <w:rPr>
          <w:rFonts w:ascii="Times New Roman" w:cs="Times New Roman" w:eastAsia="Times New Roman" w:hAnsi="Times New Roman"/>
          <w:sz w:val="18"/>
          <w:szCs w:val="18"/>
          <w:color w:val="auto"/>
        </w:rPr>
        <w:t>WHEREAS, Essilor and NVI are parties to that certain Direct Lens Agreement, executed effective November 12, 2018, and amended July 19, 2022 and November 8, 2023, (collectively the “DL Letter Agreement”); and</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WHEREAS, Essilor and NVI desire to further amend the DL Letter Agreement upon the terms and conditions set forth in this Amendment.</w:t>
      </w:r>
    </w:p>
    <w:p>
      <w:pPr>
        <w:spacing w:after="0" w:line="225" w:lineRule="exact"/>
        <w:rPr>
          <w:sz w:val="20"/>
          <w:szCs w:val="20"/>
          <w:color w:val="auto"/>
        </w:rPr>
      </w:pPr>
    </w:p>
    <w:p>
      <w:pPr>
        <w:jc w:val="both"/>
        <w:ind w:left="100" w:right="120" w:firstLine="647"/>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Amendment, and for other good and valuable consideration, the receipt and sufficiency of which are hereby acknowledged, the Parties hereby agree as follows:</w:t>
      </w:r>
    </w:p>
    <w:p>
      <w:pPr>
        <w:spacing w:after="0" w:line="162" w:lineRule="exact"/>
        <w:rPr>
          <w:sz w:val="20"/>
          <w:szCs w:val="20"/>
          <w:color w:val="auto"/>
        </w:rPr>
      </w:pPr>
    </w:p>
    <w:p>
      <w:pPr>
        <w:ind w:left="100" w:right="120" w:firstLine="646"/>
        <w:spacing w:after="0" w:line="282" w:lineRule="auto"/>
        <w:tabs>
          <w:tab w:leader="none" w:pos="18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capitalized terms used but not defined in this Third Amendment shall have the meaning assigned to them in the DL Letter Agreement.</w:t>
      </w:r>
    </w:p>
    <w:p>
      <w:pPr>
        <w:spacing w:after="0" w:line="161" w:lineRule="exact"/>
        <w:rPr>
          <w:rFonts w:ascii="Times New Roman" w:cs="Times New Roman" w:eastAsia="Times New Roman" w:hAnsi="Times New Roman"/>
          <w:sz w:val="18"/>
          <w:szCs w:val="18"/>
          <w:color w:val="auto"/>
        </w:rPr>
      </w:pPr>
    </w:p>
    <w:p>
      <w:pPr>
        <w:ind w:left="1740" w:hanging="994"/>
        <w:spacing w:after="0"/>
        <w:tabs>
          <w:tab w:leader="none" w:pos="1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2 - Direct Lenses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The following sentence is hereby added to the end of the first paragraph in Section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740" w:hanging="994"/>
        <w:spacing w:after="0"/>
        <w:tabs>
          <w:tab w:leader="none" w:pos="1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4(a) - Term</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Section 4(a) shall be amended to read as follows: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of this Agreement shall extend from June 1, 2019, until May 31, 2028 (the “Initial Term”), unless terminated earlier (or extended)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this Agreement. Thereafter, this Agreement shall automatically renew on a month-to-month basis (collectively the “Renewal Term”), unless either party gives the other at least thirty (30) days’ prior written notice of the end of the Initial Term or Renewal Term, as applicable, of its desire to terminate the Agreement. Notwithstanding the forgoing, Customer shall have the ability to unilaterally extend this Agreement an additional calendar quarter after the proposed termination date. The Initial Term and the Renewal Term shall collectively be referred to herein as the “Term.”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one (1) year anniversary of this Agreement shall be referred to as a “Contract Year.” By way of example, Contract Year 1 shall extend from June 1, 2019 until May 31, 2020.</w:t>
      </w:r>
    </w:p>
    <w:p>
      <w:pPr>
        <w:spacing w:after="0" w:line="162" w:lineRule="exact"/>
        <w:rPr>
          <w:sz w:val="20"/>
          <w:szCs w:val="20"/>
          <w:color w:val="auto"/>
        </w:rPr>
      </w:pPr>
    </w:p>
    <w:p>
      <w:pPr>
        <w:ind w:left="1740" w:hanging="994"/>
        <w:spacing w:after="0"/>
        <w:tabs>
          <w:tab w:leader="none" w:pos="1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24 – Notices</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reference to Megan Molony shall be replaced with Ana Moeddel, Chief Merchandising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740" w:hanging="994"/>
        <w:spacing w:after="0"/>
        <w:tabs>
          <w:tab w:leader="none" w:pos="1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A</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Schedule A of the DL Letter Agreement is hereby deleted in its entirety and replaced with the Schedule A attached hereto as of the</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Effective Date.</w:t>
      </w:r>
    </w:p>
    <w:p>
      <w:pPr>
        <w:spacing w:after="0" w:line="207" w:lineRule="exact"/>
        <w:rPr>
          <w:sz w:val="20"/>
          <w:szCs w:val="20"/>
          <w:color w:val="auto"/>
        </w:rPr>
      </w:pPr>
    </w:p>
    <w:p>
      <w:pPr>
        <w:ind w:left="1740" w:hanging="994"/>
        <w:spacing w:after="0"/>
        <w:tabs>
          <w:tab w:leader="none" w:pos="1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80" w:right="120" w:firstLine="1294"/>
        <w:spacing w:after="0" w:line="266" w:lineRule="auto"/>
        <w:tabs>
          <w:tab w:leader="none" w:pos="2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by this Third Amendment, all provisions of the DL Letter Agreement remain in full force and effect, and the DL Letter Agreement, as amended by this Third Amendment, will from and after the Effective Date hereof be read as a single integrated document incorporating the changes effected by this Third Amendment.</w:t>
      </w:r>
    </w:p>
    <w:p>
      <w:pPr>
        <w:spacing w:after="0" w:line="175" w:lineRule="exact"/>
        <w:rPr>
          <w:rFonts w:ascii="Times New Roman" w:cs="Times New Roman" w:eastAsia="Times New Roman" w:hAnsi="Times New Roman"/>
          <w:sz w:val="18"/>
          <w:szCs w:val="18"/>
          <w:color w:val="auto"/>
        </w:rPr>
      </w:pPr>
    </w:p>
    <w:p>
      <w:pPr>
        <w:ind w:left="2500" w:hanging="926"/>
        <w:spacing w:after="0"/>
        <w:tabs>
          <w:tab w:leader="none" w:pos="2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DL Letter Agreement, as amended, is hereby ratified and confirmed by the parties hereto.</w:t>
      </w:r>
    </w:p>
    <w:p>
      <w:pPr>
        <w:spacing w:after="0" w:line="225" w:lineRule="exact"/>
        <w:rPr>
          <w:rFonts w:ascii="Times New Roman" w:cs="Times New Roman" w:eastAsia="Times New Roman" w:hAnsi="Times New Roman"/>
          <w:sz w:val="18"/>
          <w:szCs w:val="18"/>
          <w:color w:val="auto"/>
        </w:rPr>
      </w:pPr>
    </w:p>
    <w:p>
      <w:pPr>
        <w:ind w:left="280" w:right="320" w:firstLine="1294"/>
        <w:spacing w:after="0" w:line="282" w:lineRule="auto"/>
        <w:tabs>
          <w:tab w:leader="none" w:pos="24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conflict between the provisions of the DL Letter Agreement and the Third Amendment, the provisions of this Third Amendment will control.</w:t>
      </w:r>
    </w:p>
    <w:p>
      <w:pPr>
        <w:spacing w:after="0" w:line="161" w:lineRule="exact"/>
        <w:rPr>
          <w:rFonts w:ascii="Times New Roman" w:cs="Times New Roman" w:eastAsia="Times New Roman" w:hAnsi="Times New Roman"/>
          <w:sz w:val="18"/>
          <w:szCs w:val="18"/>
          <w:color w:val="auto"/>
        </w:rPr>
      </w:pPr>
    </w:p>
    <w:p>
      <w:pPr>
        <w:ind w:left="280" w:right="320" w:firstLine="1294"/>
        <w:spacing w:after="0" w:line="282" w:lineRule="auto"/>
        <w:tabs>
          <w:tab w:leader="none" w:pos="25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Amendment may be signed in counterparts, each of which will be considered an original, but all of which together will constitute one and the same instrument.</w:t>
      </w:r>
    </w:p>
    <w:p>
      <w:pPr>
        <w:spacing w:after="0" w:line="162" w:lineRule="exact"/>
        <w:rPr>
          <w:sz w:val="20"/>
          <w:szCs w:val="20"/>
          <w:color w:val="auto"/>
        </w:rPr>
      </w:pPr>
    </w:p>
    <w:p>
      <w:pPr>
        <w:ind w:left="280" w:right="400" w:firstLine="647"/>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Third Amendment to the Direct Lens Agreement as of the Effective Date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ESSILOR OF AMERICA, INC.</w:t>
            </w:r>
          </w:p>
        </w:tc>
        <w:tc>
          <w:tcPr>
            <w:tcW w:w="7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NATIONAL VISION, INC.</w:t>
            </w:r>
          </w:p>
        </w:tc>
      </w:tr>
      <w:tr>
        <w:trPr>
          <w:trHeight w:val="392"/>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By: /s/ Fabrizio Uguzzoni</w:t>
            </w:r>
          </w:p>
        </w:tc>
        <w:tc>
          <w:tcPr>
            <w:tcW w:w="7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By: /s/ Ana Moeddel</w:t>
            </w:r>
          </w:p>
        </w:tc>
      </w:tr>
      <w:tr>
        <w:trPr>
          <w:trHeight w:val="20"/>
        </w:trPr>
        <w:tc>
          <w:tcPr>
            <w:tcW w:w="5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18"/>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Name: Fabrizio Uguzzoni</w:t>
            </w:r>
          </w:p>
        </w:tc>
        <w:tc>
          <w:tcPr>
            <w:tcW w:w="7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Name: Ana Moeddel</w:t>
            </w:r>
          </w:p>
        </w:tc>
      </w:tr>
      <w:tr>
        <w:trPr>
          <w:trHeight w:val="234"/>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Title: President, North America</w:t>
            </w:r>
          </w:p>
        </w:tc>
        <w:tc>
          <w:tcPr>
            <w:tcW w:w="7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 Chief Merchandising and Managed Care Officer</w:t>
            </w:r>
          </w:p>
        </w:tc>
      </w:tr>
      <w:tr>
        <w:trPr>
          <w:trHeight w:val="675"/>
        </w:trPr>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Schedule A</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(Pricing)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1680210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2025-12-16T15:37:00Z</dcterms:created>
  <dcterms:modified xsi:type="dcterms:W3CDTF">2025-12-16T15:37:00Z</dcterms:modified>
</cp:coreProperties>
</file>