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4798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47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Patel Priti V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2435 COMMERCE AVENUE, BLDG 2200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300" w:type="dxa"/>
            <w:vAlign w:val="bottom"/>
            <w:gridSpan w:val="5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8,958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17,919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03/01/2029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1,876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03/05/2031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45.66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 (Right to Buy)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02/28/2030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Reflects 17,919 unvested restricted stock units, of which 350 vest on 2/28/25, 2,988 vest on 3/3/25, 1,502 vest on 10/3/25, 2,989 vest on 3/3/26 and 10,090 vest in increments of one-third on each of 2/28/25, 3/1/26, and 3/1/27.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stock options are fully vested.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Jared Brandman as Attorney-in-Fact  02/07/2025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2055495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2025-02-07T15:37:29Z</dcterms:created>
  <dcterms:modified xsi:type="dcterms:W3CDTF">2025-02-07T15:37:29Z</dcterms:modified>
</cp:coreProperties>
</file>