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72659359.xml.htm"/>
      <w:bookmarkStart w:id="1" w:name="kswkform4_1772659359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FAHS L READE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NATIONAL VISION HOLDINGS, INC.,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2435 COMMERCE AVENUE, BLDG. 2200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DULUTH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GA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30096-4980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National Vision Holdings,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EYE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Executive Chairman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03/03/2026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5" name="Image5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5" name="Image5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8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295"/>
        <w:gridCol w:w="900"/>
        <w:gridCol w:w="771"/>
        <w:gridCol w:w="598"/>
        <w:gridCol w:w="345"/>
        <w:gridCol w:w="1051"/>
        <w:gridCol w:w="446"/>
        <w:gridCol w:w="749"/>
        <w:gridCol w:w="1147"/>
        <w:gridCol w:w="986"/>
        <w:gridCol w:w="917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29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3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246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4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8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1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29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10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7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4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8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1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29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03/03/2026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4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44,823</w:t>
            </w:r>
          </w:p>
        </w:tc>
        <w:tc>
          <w:tcPr>
            <w:tcW w:w="4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7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11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592,631</w:t>
            </w:r>
          </w:p>
        </w:tc>
        <w:tc>
          <w:tcPr>
            <w:tcW w:w="98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1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29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03/03/2026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</w:p>
        </w:tc>
        <w:tc>
          <w:tcPr>
            <w:tcW w:w="34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19,965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  <w:r>
              <w:rPr/>
              <w:t xml:space="preserve"> </w:t>
            </w:r>
          </w:p>
        </w:tc>
        <w:tc>
          <w:tcPr>
            <w:tcW w:w="4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7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26.63</w:t>
            </w:r>
            <w:r>
              <w:rPr/>
              <w:t xml:space="preserve"> </w:t>
            </w:r>
          </w:p>
        </w:tc>
        <w:tc>
          <w:tcPr>
            <w:tcW w:w="11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572,666</w:t>
            </w:r>
          </w:p>
        </w:tc>
        <w:tc>
          <w:tcPr>
            <w:tcW w:w="98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1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29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03/03/2026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4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179,248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  <w:r>
              <w:rPr/>
              <w:t xml:space="preserve"> </w:t>
            </w:r>
          </w:p>
        </w:tc>
        <w:tc>
          <w:tcPr>
            <w:tcW w:w="4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7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  <w:r>
              <w:rPr/>
              <w:t xml:space="preserve"> </w:t>
            </w:r>
          </w:p>
        </w:tc>
        <w:tc>
          <w:tcPr>
            <w:tcW w:w="11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751,914</w:t>
            </w:r>
          </w:p>
        </w:tc>
        <w:tc>
          <w:tcPr>
            <w:tcW w:w="98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1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29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03/03/2026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</w:p>
        </w:tc>
        <w:tc>
          <w:tcPr>
            <w:tcW w:w="34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79,838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(4)</w:t>
            </w:r>
            <w:r>
              <w:rPr/>
              <w:t xml:space="preserve"> </w:t>
            </w:r>
          </w:p>
        </w:tc>
        <w:tc>
          <w:tcPr>
            <w:tcW w:w="4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7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26.63</w:t>
            </w:r>
            <w:r>
              <w:rPr/>
              <w:t xml:space="preserve"> </w:t>
            </w:r>
          </w:p>
        </w:tc>
        <w:tc>
          <w:tcPr>
            <w:tcW w:w="11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672,076</w:t>
            </w:r>
          </w:p>
        </w:tc>
        <w:tc>
          <w:tcPr>
            <w:tcW w:w="98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1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29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4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5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4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4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363,430</w:t>
            </w:r>
          </w:p>
        </w:tc>
        <w:tc>
          <w:tcPr>
            <w:tcW w:w="98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91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Held by Trust</w:t>
            </w:r>
          </w:p>
        </w:tc>
      </w:tr>
    </w:tbl>
    <w:tbl>
      <w:tblPr>
        <w:tblW w:w="12194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980"/>
        <w:gridCol w:w="861"/>
        <w:gridCol w:w="891"/>
        <w:gridCol w:w="771"/>
        <w:gridCol w:w="591"/>
        <w:gridCol w:w="300"/>
        <w:gridCol w:w="276"/>
        <w:gridCol w:w="711"/>
        <w:gridCol w:w="906"/>
        <w:gridCol w:w="801"/>
        <w:gridCol w:w="891"/>
        <w:gridCol w:w="80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2194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98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98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69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980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Restricted Stock Units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03/03/2026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44,823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(5)</w:t>
            </w:r>
            <w:r>
              <w:rPr/>
              <w:t xml:space="preserve"> 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(5)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44,823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  <w:r>
              <w:rPr/>
              <w:t xml:space="preserve"> 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192,795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Restricted stock units convert into common stock on a one-for-one basis.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Reflects payment of tax liability by withholding securities incident to vesting of restricted stock units.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3. Reflects issuance of shares upon vesting of performance stock units granted to the reporting person on March 3, 2023.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4. Reflects payment of tax liability by withholding securities incident to vesting of performance stock units.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5. On March 3, 2023, the reporting person was granted 134,469 restricted stock units, vesting in three equal installments beginning on the first anniversary of the grant date.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Jared Brandman, as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03/04/2026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181253" TargetMode="External"/><Relationship Id="rId5" Type="http://schemas.openxmlformats.org/officeDocument/2006/relationships/hyperlink" Target="http://www.sec.gov/cgi-bin/browse-edgar?action=getcompany&amp;CIK=0001710155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image" Target="https://cdn.kscope.io/box-checked.jpg" TargetMode="External"/><Relationship Id="rId9" Type="http://schemas.openxmlformats.org/officeDocument/2006/relationships/fontTable" Target="fontTable.xml"/><Relationship Id="rId10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709</Words>
  <Characters>3844</Characters>
  <CharactersWithSpaces>4455</CharactersWithSpaces>
  <Paragraphs>142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