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0034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5400"/>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11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June 11, 2020</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05" w:lineRule="exact"/>
        <w:rPr>
          <w:sz w:val="24"/>
          <w:szCs w:val="24"/>
          <w:color w:val="auto"/>
        </w:rPr>
      </w:pPr>
    </w:p>
    <w:tbl>
      <w:tblPr>
        <w:tblLayout w:type="fixed"/>
        <w:tblInd w:w="1940" w:type="dxa"/>
        <w:tblCellMar>
          <w:top w:w="0" w:type="dxa"/>
          <w:left w:w="0" w:type="dxa"/>
          <w:bottom w:w="0" w:type="dxa"/>
          <w:right w:w="0" w:type="dxa"/>
        </w:tblCellMar>
      </w:tblPr>
      <w:tr>
        <w:trPr>
          <w:trHeight w:val="210"/>
        </w:trPr>
        <w:tc>
          <w:tcPr>
            <w:tcW w:w="5460" w:type="dxa"/>
            <w:vAlign w:val="bottom"/>
          </w:tcPr>
          <w:p>
            <w:pPr>
              <w:jc w:val="center"/>
              <w:ind w:left="181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38"/>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5460" w:type="dxa"/>
            <w:vAlign w:val="bottom"/>
          </w:tcPr>
          <w:p>
            <w:pPr>
              <w:jc w:val="center"/>
              <w:ind w:right="277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405"/>
        </w:trPr>
        <w:tc>
          <w:tcPr>
            <w:tcW w:w="5460" w:type="dxa"/>
            <w:vAlign w:val="bottom"/>
          </w:tcPr>
          <w:p>
            <w:pPr>
              <w:jc w:val="center"/>
              <w:ind w:right="279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4"/>
                <w:szCs w:val="24"/>
                <w:color w:val="auto"/>
              </w:rPr>
            </w:pPr>
          </w:p>
        </w:tc>
      </w:tr>
      <w:tr>
        <w:trPr>
          <w:trHeight w:val="257"/>
        </w:trPr>
        <w:tc>
          <w:tcPr>
            <w:tcW w:w="5460" w:type="dxa"/>
            <w:vAlign w:val="bottom"/>
          </w:tcPr>
          <w:p>
            <w:pPr>
              <w:jc w:val="center"/>
              <w:ind w:right="277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56"/>
        </w:trPr>
        <w:tc>
          <w:tcPr>
            <w:tcW w:w="5460" w:type="dxa"/>
            <w:vAlign w:val="bottom"/>
          </w:tcPr>
          <w:p>
            <w:pPr>
              <w:ind w:left="6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57"/>
        </w:trPr>
        <w:tc>
          <w:tcPr>
            <w:tcW w:w="5460" w:type="dxa"/>
            <w:vAlign w:val="bottom"/>
          </w:tcPr>
          <w:p>
            <w:pPr>
              <w:jc w:val="center"/>
              <w:ind w:right="279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22"/>
                <w:szCs w:val="22"/>
                <w:color w:val="auto"/>
              </w:rPr>
            </w:pPr>
          </w:p>
        </w:tc>
      </w:tr>
      <w:tr>
        <w:trPr>
          <w:trHeight w:val="307"/>
        </w:trPr>
        <w:tc>
          <w:tcPr>
            <w:tcW w:w="5460" w:type="dxa"/>
            <w:vAlign w:val="bottom"/>
          </w:tcPr>
          <w:p>
            <w:pPr>
              <w:jc w:val="center"/>
              <w:ind w:left="183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4"/>
                <w:szCs w:val="24"/>
                <w:color w:val="auto"/>
              </w:rPr>
            </w:pPr>
          </w:p>
        </w:tc>
      </w:tr>
      <w:tr>
        <w:trPr>
          <w:trHeight w:val="206"/>
        </w:trPr>
        <w:tc>
          <w:tcPr>
            <w:tcW w:w="5460" w:type="dxa"/>
            <w:vAlign w:val="bottom"/>
          </w:tcPr>
          <w:p>
            <w:pPr>
              <w:jc w:val="center"/>
              <w:ind w:left="181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EYE</w:t>
            </w:r>
          </w:p>
        </w:tc>
        <w:tc>
          <w:tcPr>
            <w:tcW w:w="41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1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firstLine="3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896620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372"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June 10, 2020, National Vision Holdings, Inc. (“</w:t>
      </w:r>
      <w:r>
        <w:rPr>
          <w:rFonts w:ascii="Arial" w:cs="Arial" w:eastAsia="Arial" w:hAnsi="Arial"/>
          <w:sz w:val="18"/>
          <w:szCs w:val="18"/>
          <w:u w:val="single" w:color="auto"/>
          <w:color w:val="auto"/>
        </w:rPr>
        <w:t>National Vision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held its 2020 annual meeting of stockholders (the “</w:t>
      </w:r>
      <w:r>
        <w:rPr>
          <w:rFonts w:ascii="Arial" w:cs="Arial" w:eastAsia="Arial" w:hAnsi="Arial"/>
          <w:sz w:val="18"/>
          <w:szCs w:val="18"/>
          <w:u w:val="single" w:color="auto"/>
          <w:color w:val="auto"/>
        </w:rPr>
        <w:t>Annual Meeting</w:t>
      </w:r>
      <w:r>
        <w:rPr>
          <w:rFonts w:ascii="Arial" w:cs="Arial" w:eastAsia="Arial" w:hAnsi="Arial"/>
          <w:sz w:val="18"/>
          <w:szCs w:val="18"/>
          <w:color w:val="auto"/>
        </w:rPr>
        <w:t>”). The matters submitted to stockholders at the Annual Meeting and the voting results are as follows: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Stockholders elected three Class III director nominees to hold office for terms expiring at the 2023 annual meeting of stockholders and until his or her successor is duly elected and qualified.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1400" w:type="dxa"/>
            <w:vAlign w:val="bottom"/>
          </w:tcPr>
          <w:p>
            <w:pPr>
              <w:spacing w:after="0"/>
              <w:rPr>
                <w:sz w:val="17"/>
                <w:szCs w:val="17"/>
                <w:color w:val="auto"/>
              </w:rPr>
            </w:pPr>
          </w:p>
        </w:tc>
        <w:tc>
          <w:tcPr>
            <w:tcW w:w="158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6"/>
              </w:rPr>
              <w:t>For</w:t>
            </w:r>
          </w:p>
        </w:tc>
        <w:tc>
          <w:tcPr>
            <w:tcW w:w="2600" w:type="dxa"/>
            <w:vAlign w:val="bottom"/>
            <w:gridSpan w:val="3"/>
          </w:tcPr>
          <w:p>
            <w:pPr>
              <w:ind w:left="1000"/>
              <w:spacing w:after="0"/>
              <w:rPr>
                <w:sz w:val="20"/>
                <w:szCs w:val="20"/>
                <w:color w:val="auto"/>
              </w:rPr>
            </w:pPr>
            <w:r>
              <w:rPr>
                <w:rFonts w:ascii="Arial" w:cs="Arial" w:eastAsia="Arial" w:hAnsi="Arial"/>
                <w:sz w:val="18"/>
                <w:szCs w:val="18"/>
                <w:b w:val="1"/>
                <w:bCs w:val="1"/>
                <w:color w:val="auto"/>
              </w:rPr>
              <w:t>Withheld</w:t>
            </w:r>
          </w:p>
        </w:tc>
        <w:tc>
          <w:tcPr>
            <w:tcW w:w="226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6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0"/>
        </w:trPr>
        <w:tc>
          <w:tcPr>
            <w:tcW w:w="2680" w:type="dxa"/>
            <w:vAlign w:val="bottom"/>
            <w:gridSpan w:val="2"/>
          </w:tcPr>
          <w:p>
            <w:pPr>
              <w:spacing w:after="0"/>
              <w:rPr>
                <w:sz w:val="20"/>
                <w:szCs w:val="20"/>
                <w:color w:val="auto"/>
              </w:rPr>
            </w:pPr>
            <w:r>
              <w:rPr>
                <w:rFonts w:ascii="Arial" w:cs="Arial" w:eastAsia="Arial" w:hAnsi="Arial"/>
                <w:sz w:val="18"/>
                <w:szCs w:val="18"/>
                <w:color w:val="auto"/>
              </w:rPr>
              <w:t>Virginia A. Hepner</w:t>
            </w:r>
          </w:p>
        </w:tc>
        <w:tc>
          <w:tcPr>
            <w:tcW w:w="298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71,736,135</w:t>
            </w:r>
          </w:p>
        </w:tc>
        <w:tc>
          <w:tcPr>
            <w:tcW w:w="2600" w:type="dxa"/>
            <w:vAlign w:val="bottom"/>
            <w:gridSpan w:val="3"/>
          </w:tcPr>
          <w:p>
            <w:pPr>
              <w:ind w:left="1000"/>
              <w:spacing w:after="0"/>
              <w:rPr>
                <w:sz w:val="20"/>
                <w:szCs w:val="20"/>
                <w:color w:val="auto"/>
              </w:rPr>
            </w:pPr>
            <w:r>
              <w:rPr>
                <w:rFonts w:ascii="Arial" w:cs="Arial" w:eastAsia="Arial" w:hAnsi="Arial"/>
                <w:sz w:val="18"/>
                <w:szCs w:val="18"/>
                <w:color w:val="auto"/>
              </w:rPr>
              <w:t>5,241,481</w:t>
            </w:r>
          </w:p>
        </w:tc>
        <w:tc>
          <w:tcPr>
            <w:tcW w:w="2260" w:type="dxa"/>
            <w:vAlign w:val="bottom"/>
            <w:gridSpan w:val="2"/>
          </w:tcPr>
          <w:p>
            <w:pPr>
              <w:jc w:val="center"/>
              <w:ind w:left="770"/>
              <w:spacing w:after="0"/>
              <w:rPr>
                <w:sz w:val="20"/>
                <w:szCs w:val="20"/>
                <w:color w:val="auto"/>
              </w:rPr>
            </w:pPr>
            <w:r>
              <w:rPr>
                <w:rFonts w:ascii="Arial" w:cs="Arial" w:eastAsia="Arial" w:hAnsi="Arial"/>
                <w:sz w:val="18"/>
                <w:szCs w:val="18"/>
                <w:color w:val="auto"/>
                <w:w w:val="89"/>
              </w:rPr>
              <w:t>1,389,854</w:t>
            </w:r>
          </w:p>
        </w:tc>
      </w:tr>
      <w:tr>
        <w:trPr>
          <w:trHeight w:val="270"/>
        </w:trPr>
        <w:tc>
          <w:tcPr>
            <w:tcW w:w="2680" w:type="dxa"/>
            <w:vAlign w:val="bottom"/>
            <w:gridSpan w:val="2"/>
          </w:tcPr>
          <w:p>
            <w:pPr>
              <w:spacing w:after="0"/>
              <w:rPr>
                <w:sz w:val="20"/>
                <w:szCs w:val="20"/>
                <w:color w:val="auto"/>
              </w:rPr>
            </w:pPr>
            <w:r>
              <w:rPr>
                <w:rFonts w:ascii="Arial" w:cs="Arial" w:eastAsia="Arial" w:hAnsi="Arial"/>
                <w:sz w:val="18"/>
                <w:szCs w:val="18"/>
                <w:color w:val="auto"/>
              </w:rPr>
              <w:t>Thomas V. Taylor, Jr.</w:t>
            </w:r>
          </w:p>
        </w:tc>
        <w:tc>
          <w:tcPr>
            <w:tcW w:w="298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75,809,425</w:t>
            </w:r>
          </w:p>
        </w:tc>
        <w:tc>
          <w:tcPr>
            <w:tcW w:w="2600" w:type="dxa"/>
            <w:vAlign w:val="bottom"/>
            <w:gridSpan w:val="3"/>
          </w:tcPr>
          <w:p>
            <w:pPr>
              <w:ind w:left="1000"/>
              <w:spacing w:after="0"/>
              <w:rPr>
                <w:sz w:val="20"/>
                <w:szCs w:val="20"/>
                <w:color w:val="auto"/>
              </w:rPr>
            </w:pPr>
            <w:r>
              <w:rPr>
                <w:rFonts w:ascii="Arial" w:cs="Arial" w:eastAsia="Arial" w:hAnsi="Arial"/>
                <w:sz w:val="18"/>
                <w:szCs w:val="18"/>
                <w:color w:val="auto"/>
              </w:rPr>
              <w:t>1,168,191</w:t>
            </w:r>
          </w:p>
        </w:tc>
        <w:tc>
          <w:tcPr>
            <w:tcW w:w="2260" w:type="dxa"/>
            <w:vAlign w:val="bottom"/>
            <w:gridSpan w:val="2"/>
          </w:tcPr>
          <w:p>
            <w:pPr>
              <w:jc w:val="center"/>
              <w:ind w:left="770"/>
              <w:spacing w:after="0"/>
              <w:rPr>
                <w:sz w:val="20"/>
                <w:szCs w:val="20"/>
                <w:color w:val="auto"/>
              </w:rPr>
            </w:pPr>
            <w:r>
              <w:rPr>
                <w:rFonts w:ascii="Arial" w:cs="Arial" w:eastAsia="Arial" w:hAnsi="Arial"/>
                <w:sz w:val="18"/>
                <w:szCs w:val="18"/>
                <w:color w:val="auto"/>
                <w:w w:val="89"/>
              </w:rPr>
              <w:t>1,389,854</w:t>
            </w:r>
          </w:p>
        </w:tc>
      </w:tr>
      <w:tr>
        <w:trPr>
          <w:trHeight w:val="270"/>
        </w:trPr>
        <w:tc>
          <w:tcPr>
            <w:tcW w:w="2680" w:type="dxa"/>
            <w:vAlign w:val="bottom"/>
            <w:gridSpan w:val="2"/>
          </w:tcPr>
          <w:p>
            <w:pPr>
              <w:spacing w:after="0"/>
              <w:rPr>
                <w:sz w:val="20"/>
                <w:szCs w:val="20"/>
                <w:color w:val="auto"/>
              </w:rPr>
            </w:pPr>
            <w:r>
              <w:rPr>
                <w:rFonts w:ascii="Arial" w:cs="Arial" w:eastAsia="Arial" w:hAnsi="Arial"/>
                <w:sz w:val="18"/>
                <w:szCs w:val="18"/>
                <w:color w:val="auto"/>
              </w:rPr>
              <w:t>David M. Tehle</w:t>
            </w:r>
          </w:p>
        </w:tc>
        <w:tc>
          <w:tcPr>
            <w:tcW w:w="298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75,623,096</w:t>
            </w:r>
          </w:p>
        </w:tc>
        <w:tc>
          <w:tcPr>
            <w:tcW w:w="2600" w:type="dxa"/>
            <w:vAlign w:val="bottom"/>
            <w:gridSpan w:val="3"/>
          </w:tcPr>
          <w:p>
            <w:pPr>
              <w:ind w:left="1000"/>
              <w:spacing w:after="0"/>
              <w:rPr>
                <w:sz w:val="20"/>
                <w:szCs w:val="20"/>
                <w:color w:val="auto"/>
              </w:rPr>
            </w:pPr>
            <w:r>
              <w:rPr>
                <w:rFonts w:ascii="Arial" w:cs="Arial" w:eastAsia="Arial" w:hAnsi="Arial"/>
                <w:sz w:val="18"/>
                <w:szCs w:val="18"/>
                <w:color w:val="auto"/>
              </w:rPr>
              <w:t>1,354,520</w:t>
            </w:r>
          </w:p>
        </w:tc>
        <w:tc>
          <w:tcPr>
            <w:tcW w:w="2260" w:type="dxa"/>
            <w:vAlign w:val="bottom"/>
            <w:gridSpan w:val="2"/>
          </w:tcPr>
          <w:p>
            <w:pPr>
              <w:jc w:val="center"/>
              <w:ind w:left="770"/>
              <w:spacing w:after="0"/>
              <w:rPr>
                <w:sz w:val="20"/>
                <w:szCs w:val="20"/>
                <w:color w:val="auto"/>
              </w:rPr>
            </w:pPr>
            <w:r>
              <w:rPr>
                <w:rFonts w:ascii="Arial" w:cs="Arial" w:eastAsia="Arial" w:hAnsi="Arial"/>
                <w:sz w:val="18"/>
                <w:szCs w:val="18"/>
                <w:color w:val="auto"/>
                <w:w w:val="89"/>
              </w:rPr>
              <w:t>1,389,854</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the Independent Registered Public Accounting Firm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Stockholders ratified the appointment of Deloitte &amp; Touche LLP as our independent registered public accounting firm for fiscal 2020.</w:t>
      </w:r>
    </w:p>
    <w:p>
      <w:pPr>
        <w:spacing w:after="0" w:line="194" w:lineRule="exact"/>
        <w:rPr>
          <w:sz w:val="20"/>
          <w:szCs w:val="20"/>
          <w:color w:val="auto"/>
        </w:rPr>
      </w:pPr>
    </w:p>
    <w:tbl>
      <w:tblPr>
        <w:tblLayout w:type="fixed"/>
        <w:tblInd w:w="384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166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Abstained</w:t>
            </w:r>
          </w:p>
        </w:tc>
        <w:tc>
          <w:tcPr>
            <w:tcW w:w="238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91"/>
        </w:trPr>
        <w:tc>
          <w:tcPr>
            <w:tcW w:w="2220" w:type="dxa"/>
            <w:vAlign w:val="bottom"/>
            <w:gridSpan w:val="3"/>
          </w:tcPr>
          <w:p>
            <w:pPr>
              <w:jc w:val="right"/>
              <w:ind w:right="1400"/>
              <w:spacing w:after="0"/>
              <w:rPr>
                <w:sz w:val="20"/>
                <w:szCs w:val="20"/>
                <w:color w:val="auto"/>
              </w:rPr>
            </w:pPr>
            <w:r>
              <w:rPr>
                <w:rFonts w:ascii="Arial" w:cs="Arial" w:eastAsia="Arial" w:hAnsi="Arial"/>
                <w:sz w:val="18"/>
                <w:szCs w:val="18"/>
                <w:color w:val="auto"/>
                <w:w w:val="88"/>
              </w:rPr>
              <w:t>77,996,609</w:t>
            </w:r>
          </w:p>
        </w:tc>
        <w:tc>
          <w:tcPr>
            <w:tcW w:w="580" w:type="dxa"/>
            <w:vAlign w:val="bottom"/>
          </w:tcPr>
          <w:p>
            <w:pPr>
              <w:spacing w:after="0"/>
              <w:rPr>
                <w:sz w:val="20"/>
                <w:szCs w:val="20"/>
                <w:color w:val="auto"/>
              </w:rPr>
            </w:pPr>
            <w:r>
              <w:rPr>
                <w:rFonts w:ascii="Arial" w:cs="Arial" w:eastAsia="Arial" w:hAnsi="Arial"/>
                <w:sz w:val="18"/>
                <w:szCs w:val="18"/>
                <w:color w:val="auto"/>
                <w:w w:val="86"/>
              </w:rPr>
              <w:t>361,336</w:t>
            </w:r>
          </w:p>
        </w:tc>
        <w:tc>
          <w:tcPr>
            <w:tcW w:w="70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9,525</w:t>
            </w:r>
          </w:p>
        </w:tc>
        <w:tc>
          <w:tcPr>
            <w:tcW w:w="2380" w:type="dxa"/>
            <w:vAlign w:val="bottom"/>
            <w:gridSpan w:val="2"/>
          </w:tcPr>
          <w:p>
            <w:pPr>
              <w:jc w:val="right"/>
              <w:ind w:right="640"/>
              <w:spacing w:after="0"/>
              <w:rPr>
                <w:sz w:val="20"/>
                <w:szCs w:val="20"/>
                <w:color w:val="auto"/>
              </w:rPr>
            </w:pPr>
            <w:r>
              <w:rPr>
                <w:rFonts w:ascii="Arial" w:cs="Arial" w:eastAsia="Arial" w:hAnsi="Arial"/>
                <w:sz w:val="18"/>
                <w:szCs w:val="18"/>
                <w:color w:val="auto"/>
              </w:rPr>
              <w:t>0</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Advisory Vote on Executive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approved, on a non-binding advisory basis, the compensation paid to the Company’s named executive officers.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194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6"/>
              </w:rPr>
              <w:t>For</w:t>
            </w: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Against</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Abstained</w:t>
            </w:r>
          </w:p>
        </w:tc>
        <w:tc>
          <w:tcPr>
            <w:tcW w:w="31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0"/>
              </w:rPr>
              <w:t>Broker Non-Votes</w:t>
            </w: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90"/>
        </w:trPr>
        <w:tc>
          <w:tcPr>
            <w:tcW w:w="6080" w:type="dxa"/>
            <w:vAlign w:val="bottom"/>
            <w:gridSpan w:val="3"/>
          </w:tcPr>
          <w:p>
            <w:pPr>
              <w:jc w:val="right"/>
              <w:ind w:right="1400"/>
              <w:spacing w:after="0"/>
              <w:rPr>
                <w:sz w:val="20"/>
                <w:szCs w:val="20"/>
                <w:color w:val="auto"/>
              </w:rPr>
            </w:pPr>
            <w:r>
              <w:rPr>
                <w:rFonts w:ascii="Arial" w:cs="Arial" w:eastAsia="Arial" w:hAnsi="Arial"/>
                <w:sz w:val="18"/>
                <w:szCs w:val="18"/>
                <w:color w:val="auto"/>
              </w:rPr>
              <w:t>76,379,310</w:t>
            </w:r>
          </w:p>
        </w:tc>
        <w:tc>
          <w:tcPr>
            <w:tcW w:w="600" w:type="dxa"/>
            <w:vAlign w:val="bottom"/>
          </w:tcPr>
          <w:p>
            <w:pPr>
              <w:spacing w:after="0"/>
              <w:rPr>
                <w:sz w:val="20"/>
                <w:szCs w:val="20"/>
                <w:color w:val="auto"/>
              </w:rPr>
            </w:pPr>
            <w:r>
              <w:rPr>
                <w:rFonts w:ascii="Arial" w:cs="Arial" w:eastAsia="Arial" w:hAnsi="Arial"/>
                <w:sz w:val="18"/>
                <w:szCs w:val="18"/>
                <w:color w:val="auto"/>
                <w:w w:val="89"/>
              </w:rPr>
              <w:t>463,903</w:t>
            </w:r>
          </w:p>
        </w:tc>
        <w:tc>
          <w:tcPr>
            <w:tcW w:w="6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134,403</w:t>
            </w:r>
          </w:p>
        </w:tc>
        <w:tc>
          <w:tcPr>
            <w:tcW w:w="2400" w:type="dxa"/>
            <w:vAlign w:val="bottom"/>
            <w:gridSpan w:val="2"/>
          </w:tcPr>
          <w:p>
            <w:pPr>
              <w:jc w:val="right"/>
              <w:ind w:right="340"/>
              <w:spacing w:after="0"/>
              <w:rPr>
                <w:sz w:val="20"/>
                <w:szCs w:val="20"/>
                <w:color w:val="auto"/>
              </w:rPr>
            </w:pPr>
            <w:r>
              <w:rPr>
                <w:rFonts w:ascii="Arial" w:cs="Arial" w:eastAsia="Arial" w:hAnsi="Arial"/>
                <w:sz w:val="18"/>
                <w:szCs w:val="18"/>
                <w:color w:val="auto"/>
              </w:rPr>
              <w:t>1,389,854</w:t>
            </w:r>
          </w:p>
        </w:tc>
        <w:tc>
          <w:tcPr>
            <w:tcW w:w="700" w:type="dxa"/>
            <w:vAlign w:val="bottom"/>
          </w:tcPr>
          <w:p>
            <w:pPr>
              <w:spacing w:after="0"/>
              <w:rPr>
                <w:sz w:val="24"/>
                <w:szCs w:val="24"/>
                <w:color w:val="auto"/>
              </w:rPr>
            </w:pPr>
          </w:p>
        </w:tc>
      </w:tr>
      <w:tr>
        <w:trPr>
          <w:trHeight w:val="911"/>
        </w:trPr>
        <w:tc>
          <w:tcPr>
            <w:tcW w:w="4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65"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Date: June 11, 2020</w:t>
            </w:r>
          </w:p>
        </w:tc>
        <w:tc>
          <w:tcPr>
            <w:tcW w:w="2680" w:type="dxa"/>
            <w:vAlign w:val="bottom"/>
          </w:tcPr>
          <w:p>
            <w:pPr>
              <w:ind w:left="136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/s/ Jared Brandman</w:t>
            </w:r>
          </w:p>
        </w:tc>
      </w:tr>
      <w:tr>
        <w:trPr>
          <w:trHeight w:val="27"/>
        </w:trPr>
        <w:tc>
          <w:tcPr>
            <w:tcW w:w="2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2680" w:type="dxa"/>
            <w:vAlign w:val="bottom"/>
          </w:tcPr>
          <w:p>
            <w:pPr>
              <w:ind w:left="1360"/>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Jared Brandman</w:t>
            </w:r>
          </w:p>
        </w:tc>
      </w:tr>
      <w:tr>
        <w:trPr>
          <w:trHeight w:val="270"/>
        </w:trPr>
        <w:tc>
          <w:tcPr>
            <w:tcW w:w="2780" w:type="dxa"/>
            <w:vAlign w:val="bottom"/>
          </w:tcPr>
          <w:p>
            <w:pPr>
              <w:spacing w:after="0"/>
              <w:rPr>
                <w:sz w:val="23"/>
                <w:szCs w:val="23"/>
                <w:color w:val="auto"/>
              </w:rPr>
            </w:pPr>
          </w:p>
        </w:tc>
        <w:tc>
          <w:tcPr>
            <w:tcW w:w="2680" w:type="dxa"/>
            <w:vAlign w:val="bottom"/>
          </w:tcPr>
          <w:p>
            <w:pPr>
              <w:ind w:left="136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0960"/>
      </w:cols>
      <w:pgMar w:left="320" w:top="89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2020-06-11T08:02:28Z</dcterms:created>
  <dcterms:modified xsi:type="dcterms:W3CDTF">2020-06-11T08:02:28Z</dcterms:modified>
</cp:coreProperties>
</file>