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6393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63931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BUSBEE JEFF</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18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10/25/2017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National Vision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EYE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494"/>
        <w:spacing w:after="0" w:line="268" w:lineRule="auto"/>
        <w:rPr>
          <w:sz w:val="20"/>
          <w:szCs w:val="20"/>
          <w:color w:val="auto"/>
        </w:rPr>
      </w:pPr>
      <w:r>
        <w:rPr>
          <w:rFonts w:ascii="Arial" w:cs="Arial" w:eastAsia="Arial" w:hAnsi="Arial"/>
          <w:sz w:val="18"/>
          <w:szCs w:val="18"/>
          <w:color w:val="0000FF"/>
        </w:rPr>
        <w:t>C/O NATIONAL VISION HOLDINGS, INC.,</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2435 COMMERCE AVENUE, BLDG. 2200</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126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w w:val="92"/>
              </w:rPr>
              <w:t>DULUTHGA</w:t>
            </w:r>
          </w:p>
        </w:tc>
        <w:tc>
          <w:tcPr>
            <w:tcW w:w="1260" w:type="dxa"/>
            <w:vAlign w:val="bottom"/>
          </w:tcPr>
          <w:p>
            <w:pPr>
              <w:jc w:val="right"/>
              <w:spacing w:after="0"/>
              <w:rPr>
                <w:sz w:val="20"/>
                <w:szCs w:val="20"/>
                <w:color w:val="auto"/>
              </w:rPr>
            </w:pPr>
            <w:r>
              <w:rPr>
                <w:rFonts w:ascii="Arial" w:cs="Arial" w:eastAsia="Arial" w:hAnsi="Arial"/>
                <w:sz w:val="18"/>
                <w:szCs w:val="18"/>
                <w:color w:val="0000FF"/>
              </w:rPr>
              <w:t>30096-4980</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6"/>
        <w:spacing w:after="0"/>
        <w:rPr>
          <w:sz w:val="20"/>
          <w:szCs w:val="20"/>
          <w:color w:val="auto"/>
        </w:rPr>
      </w:pPr>
      <w:r>
        <w:rPr>
          <w:rFonts w:ascii="Arial" w:cs="Arial" w:eastAsia="Arial" w:hAnsi="Arial"/>
          <w:sz w:val="18"/>
          <w:szCs w:val="18"/>
          <w:color w:val="0000FF"/>
        </w:rPr>
        <w:t>SVP, Chief HR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580"/>
              <w:spacing w:after="0"/>
              <w:rPr>
                <w:sz w:val="20"/>
                <w:szCs w:val="20"/>
                <w:color w:val="auto"/>
              </w:rPr>
            </w:pPr>
            <w:r>
              <w:rPr>
                <w:rFonts w:ascii="Arial" w:cs="Arial" w:eastAsia="Arial" w:hAnsi="Arial"/>
                <w:sz w:val="18"/>
                <w:szCs w:val="18"/>
                <w:color w:val="0000FF"/>
              </w:rPr>
              <w:t>103,342</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03/13/2024</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65,911</w:t>
            </w:r>
          </w:p>
        </w:tc>
        <w:tc>
          <w:tcPr>
            <w:tcW w:w="880" w:type="dxa"/>
            <w:vAlign w:val="bottom"/>
          </w:tcPr>
          <w:p>
            <w:pPr>
              <w:ind w:left="280"/>
              <w:spacing w:after="0"/>
              <w:rPr>
                <w:sz w:val="20"/>
                <w:szCs w:val="20"/>
                <w:color w:val="auto"/>
              </w:rPr>
            </w:pPr>
            <w:r>
              <w:rPr>
                <w:rFonts w:ascii="Arial" w:cs="Arial" w:eastAsia="Arial" w:hAnsi="Arial"/>
                <w:sz w:val="18"/>
                <w:szCs w:val="18"/>
                <w:color w:val="0000FF"/>
              </w:rPr>
              <w:t>4.27</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03/13/2024</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21,970</w:t>
            </w:r>
          </w:p>
        </w:tc>
        <w:tc>
          <w:tcPr>
            <w:tcW w:w="880" w:type="dxa"/>
            <w:vAlign w:val="bottom"/>
          </w:tcPr>
          <w:p>
            <w:pPr>
              <w:ind w:left="280"/>
              <w:spacing w:after="0"/>
              <w:rPr>
                <w:sz w:val="20"/>
                <w:szCs w:val="20"/>
                <w:color w:val="auto"/>
              </w:rPr>
            </w:pPr>
            <w:r>
              <w:rPr>
                <w:rFonts w:ascii="Arial" w:cs="Arial" w:eastAsia="Arial" w:hAnsi="Arial"/>
                <w:sz w:val="18"/>
                <w:szCs w:val="18"/>
                <w:color w:val="0000FF"/>
              </w:rPr>
              <w:t>7.25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Of these 65,911 stock options, 21,970 are vested and the remaining 43,941 stock options will vest in two equal annual installments on March 13, 2018 and 2019. An additional 164,778 stock options which remain subject to liquidity-event performance-based vesting conditions are not included in the table above.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These stock options are fully vested.</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4"/>
              </w:rPr>
              <w:t>/s/ Jared Brandman, as</w:t>
            </w:r>
          </w:p>
        </w:tc>
        <w:tc>
          <w:tcPr>
            <w:tcW w:w="5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10/25/2017</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24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5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Know all by these presents that the undersigned does hereby make, constitute and appoint each of Mitchell Goodman, Jared Brandman and Ronnie Brown, or any one of them, as a true and lawful attorney-in-fact and agent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National Vision Holdings, Inc. (i) pursuant to Section 16(a) of the Securities Exchange Act of 1934, as amended, including without limitation, statements on Form 3, Form 4 and Form 5 (including any amendments thereto), and (ii) in connection with any applications for EDGAR access codes or any other documents necessary or appropriate to obtain codes and passwords enabling the undersigned to make electronic filings with the Securities and Exchange Commission, including without limitation an Update Passphrase request. This Power of Attorney shall remain in full force and effect until the undersigned is no longer required to file Forms 3, 4 and 5 with regard to the undersigned's ownership of or transactions in securities of National Vision Holdings, Inc., unless earlier revoked in writing. The undersigned acknowledges that Mitchell Goodman, Jared Brandman and Ronnie Brown are not assuming any of the undersigned's responsibilities to comply with Section 16 of the Securities Exchange Act of 1934.</w:t>
      </w:r>
    </w:p>
    <w:p>
      <w:pPr>
        <w:spacing w:after="0" w:line="210" w:lineRule="exact"/>
        <w:rPr>
          <w:sz w:val="20"/>
          <w:szCs w:val="20"/>
          <w:color w:val="auto"/>
        </w:rPr>
      </w:pPr>
    </w:p>
    <w:p>
      <w:pPr>
        <w:ind w:left="574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 Busbee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33959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39598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Jeff Busbee</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23495</wp:posOffset>
            </wp:positionV>
            <wp:extent cx="12947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9476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415925</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31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1" Type="http://schemas.openxmlformats.org/officeDocument/2006/relationships/hyperlink" Target="http://www.sec.gov/cgi-bin/browse-edgar?action=getcompany&amp;CIK=0001261163" TargetMode="External"/><Relationship Id="rId12"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2019-12-23T21:50:44Z</dcterms:created>
  <dcterms:modified xsi:type="dcterms:W3CDTF">2019-12-23T21:50:44Z</dcterms:modified>
</cp:coreProperties>
</file>