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Armario Jose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400"/>
        <w:spacing w:after="0" w:line="403"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DULUTH</w:t>
            </w:r>
          </w:p>
        </w:tc>
        <w:tc>
          <w:tcPr>
            <w:tcW w:w="1060" w:type="dxa"/>
            <w:vAlign w:val="bottom"/>
          </w:tcPr>
          <w:p>
            <w:pPr>
              <w:ind w:left="260"/>
              <w:spacing w:after="0"/>
              <w:rPr>
                <w:sz w:val="20"/>
                <w:szCs w:val="20"/>
                <w:color w:val="auto"/>
              </w:rPr>
            </w:pPr>
            <w:r>
              <w:rPr>
                <w:rFonts w:ascii="Arial" w:cs="Arial" w:eastAsia="Arial" w:hAnsi="Arial"/>
                <w:sz w:val="18"/>
                <w:szCs w:val="18"/>
                <w:color w:val="0000FF"/>
              </w:rPr>
              <w:t>GA</w:t>
            </w:r>
          </w:p>
        </w:tc>
        <w:tc>
          <w:tcPr>
            <w:tcW w:w="1600" w:type="dxa"/>
            <w:vAlign w:val="bottom"/>
          </w:tcPr>
          <w:p>
            <w:pPr>
              <w:ind w:left="420"/>
              <w:spacing w:after="0"/>
              <w:rPr>
                <w:sz w:val="20"/>
                <w:szCs w:val="20"/>
                <w:color w:val="auto"/>
              </w:rPr>
            </w:pPr>
            <w:r>
              <w:rPr>
                <w:rFonts w:ascii="Arial" w:cs="Arial" w:eastAsia="Arial" w:hAnsi="Arial"/>
                <w:sz w:val="18"/>
                <w:szCs w:val="18"/>
                <w:color w:val="0000FF"/>
              </w:rPr>
              <w:t>30096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06/14/2023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20"/>
              <w:spacing w:after="0"/>
              <w:rPr>
                <w:sz w:val="20"/>
                <w:szCs w:val="20"/>
                <w:color w:val="auto"/>
              </w:rPr>
            </w:pPr>
            <w:r>
              <w:rPr>
                <w:rFonts w:ascii="Arial" w:cs="Arial" w:eastAsia="Arial" w:hAnsi="Arial"/>
                <w:sz w:val="12"/>
                <w:szCs w:val="12"/>
                <w:b w:val="1"/>
                <w:bCs w:val="1"/>
                <w:color w:val="auto"/>
                <w:w w:val="99"/>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06/14/2023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8,410</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w w:val="96"/>
                <w:vertAlign w:val="subscript"/>
              </w:rPr>
              <w:t>$</w:t>
            </w:r>
            <w:r>
              <w:rPr>
                <w:rFonts w:ascii="Arial" w:cs="Arial" w:eastAsia="Arial" w:hAnsi="Arial"/>
                <w:sz w:val="35"/>
                <w:szCs w:val="35"/>
                <w:color w:val="0000FF"/>
                <w:w w:val="96"/>
                <w:vertAlign w:val="subscript"/>
              </w:rPr>
              <w:t>0</w:t>
            </w:r>
            <w:r>
              <w:rPr>
                <w:rFonts w:ascii="Arial" w:cs="Arial" w:eastAsia="Arial" w:hAnsi="Arial"/>
                <w:sz w:val="11"/>
                <w:szCs w:val="11"/>
                <w:color w:val="008000"/>
                <w:w w:val="96"/>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20,415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restricted stock unit ("RSU") grant pursuant to NVHI's non-employee director compensation policy. The RSUs vest in full on the one year anniversary of the date of the grant, subject to the Reporting Person's continuous service through such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share of NVHI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06/16/2023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00" w:type="dxa"/>
            <w:vAlign w:val="bottom"/>
            <w:vMerge w:val="restart"/>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480"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2023-06-16T15:33:41Z</dcterms:created>
  <dcterms:modified xsi:type="dcterms:W3CDTF">2023-06-16T15:33:41Z</dcterms:modified>
</cp:coreProperties>
</file>