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611505</wp:posOffset>
            </wp:positionV>
            <wp:extent cx="7020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2056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70205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0560" cy="17145"/>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17"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9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May 7, 2020</w:t>
      </w:r>
    </w:p>
    <w:p>
      <w:pPr>
        <w:spacing w:after="0" w:line="86"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69"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001-38257</w:t>
      </w:r>
    </w:p>
    <w:p>
      <w:pPr>
        <w:spacing w:after="0" w:line="248" w:lineRule="exact"/>
        <w:rPr>
          <w:sz w:val="24"/>
          <w:szCs w:val="24"/>
          <w:color w:val="auto"/>
        </w:rPr>
      </w:pPr>
    </w:p>
    <w:tbl>
      <w:tblPr>
        <w:tblLayout w:type="fixed"/>
        <w:tblInd w:w="2240" w:type="dxa"/>
        <w:tblCellMar>
          <w:top w:w="0" w:type="dxa"/>
          <w:left w:w="0" w:type="dxa"/>
          <w:bottom w:w="0" w:type="dxa"/>
          <w:right w:w="0" w:type="dxa"/>
        </w:tblCellMar>
      </w:tblPr>
      <w:tr>
        <w:trPr>
          <w:trHeight w:val="210"/>
        </w:trPr>
        <w:tc>
          <w:tcPr>
            <w:tcW w:w="3560" w:type="dxa"/>
            <w:vAlign w:val="bottom"/>
          </w:tcPr>
          <w:p>
            <w:pPr>
              <w:jc w:val="center"/>
              <w:ind w:right="1519"/>
              <w:spacing w:after="0"/>
              <w:rPr>
                <w:sz w:val="20"/>
                <w:szCs w:val="20"/>
                <w:color w:val="auto"/>
              </w:rPr>
            </w:pPr>
            <w:r>
              <w:rPr>
                <w:rFonts w:ascii="Arial" w:cs="Arial" w:eastAsia="Arial" w:hAnsi="Arial"/>
                <w:sz w:val="16"/>
                <w:szCs w:val="16"/>
                <w:b w:val="1"/>
                <w:bCs w:val="1"/>
                <w:color w:val="auto"/>
                <w:w w:val="91"/>
              </w:rPr>
              <w:t>Delaware</w:t>
            </w:r>
          </w:p>
        </w:tc>
        <w:tc>
          <w:tcPr>
            <w:tcW w:w="2820" w:type="dxa"/>
            <w:vAlign w:val="bottom"/>
          </w:tcPr>
          <w:p>
            <w:pPr>
              <w:jc w:val="right"/>
              <w:ind w:right="119"/>
              <w:spacing w:after="0"/>
              <w:rPr>
                <w:sz w:val="20"/>
                <w:szCs w:val="20"/>
                <w:color w:val="auto"/>
              </w:rPr>
            </w:pPr>
            <w:r>
              <w:rPr>
                <w:rFonts w:ascii="Arial" w:cs="Arial" w:eastAsia="Arial" w:hAnsi="Arial"/>
                <w:sz w:val="16"/>
                <w:szCs w:val="16"/>
                <w:b w:val="1"/>
                <w:bCs w:val="1"/>
                <w:color w:val="auto"/>
              </w:rPr>
              <w:t>46-4841717</w:t>
            </w:r>
          </w:p>
        </w:tc>
      </w:tr>
      <w:tr>
        <w:trPr>
          <w:trHeight w:val="253"/>
        </w:trPr>
        <w:tc>
          <w:tcPr>
            <w:tcW w:w="3560" w:type="dxa"/>
            <w:vAlign w:val="bottom"/>
          </w:tcPr>
          <w:p>
            <w:pPr>
              <w:jc w:val="center"/>
              <w:ind w:right="1519"/>
              <w:spacing w:after="0"/>
              <w:rPr>
                <w:sz w:val="20"/>
                <w:szCs w:val="20"/>
                <w:color w:val="auto"/>
              </w:rPr>
            </w:pPr>
            <w:r>
              <w:rPr>
                <w:rFonts w:ascii="Arial" w:cs="Arial" w:eastAsia="Arial" w:hAnsi="Arial"/>
                <w:sz w:val="16"/>
                <w:szCs w:val="16"/>
                <w:color w:val="auto"/>
                <w:w w:val="93"/>
              </w:rPr>
              <w:t>(State or other jurisdiction of</w:t>
            </w:r>
          </w:p>
        </w:tc>
        <w:tc>
          <w:tcPr>
            <w:tcW w:w="2820" w:type="dxa"/>
            <w:vAlign w:val="bottom"/>
          </w:tcPr>
          <w:p>
            <w:pPr>
              <w:jc w:val="center"/>
              <w:ind w:left="1539"/>
              <w:spacing w:after="0"/>
              <w:rPr>
                <w:sz w:val="20"/>
                <w:szCs w:val="20"/>
                <w:color w:val="auto"/>
              </w:rPr>
            </w:pPr>
            <w:r>
              <w:rPr>
                <w:rFonts w:ascii="Arial" w:cs="Arial" w:eastAsia="Arial" w:hAnsi="Arial"/>
                <w:sz w:val="16"/>
                <w:szCs w:val="16"/>
                <w:color w:val="auto"/>
                <w:w w:val="95"/>
              </w:rPr>
              <w:t>(I.R.S. Employer</w:t>
            </w:r>
          </w:p>
        </w:tc>
      </w:tr>
      <w:tr>
        <w:trPr>
          <w:trHeight w:val="206"/>
        </w:trPr>
        <w:tc>
          <w:tcPr>
            <w:tcW w:w="3560" w:type="dxa"/>
            <w:vAlign w:val="bottom"/>
          </w:tcPr>
          <w:p>
            <w:pPr>
              <w:jc w:val="center"/>
              <w:ind w:right="1519"/>
              <w:spacing w:after="0"/>
              <w:rPr>
                <w:sz w:val="20"/>
                <w:szCs w:val="20"/>
                <w:color w:val="auto"/>
              </w:rPr>
            </w:pPr>
            <w:r>
              <w:rPr>
                <w:rFonts w:ascii="Arial" w:cs="Arial" w:eastAsia="Arial" w:hAnsi="Arial"/>
                <w:sz w:val="16"/>
                <w:szCs w:val="16"/>
                <w:color w:val="auto"/>
                <w:w w:val="94"/>
              </w:rPr>
              <w:t>incorporation or organization)</w:t>
            </w:r>
          </w:p>
        </w:tc>
        <w:tc>
          <w:tcPr>
            <w:tcW w:w="2820" w:type="dxa"/>
            <w:vAlign w:val="bottom"/>
          </w:tcPr>
          <w:p>
            <w:pPr>
              <w:jc w:val="center"/>
              <w:ind w:left="1539"/>
              <w:spacing w:after="0"/>
              <w:rPr>
                <w:sz w:val="20"/>
                <w:szCs w:val="20"/>
                <w:color w:val="auto"/>
              </w:rPr>
            </w:pPr>
            <w:r>
              <w:rPr>
                <w:rFonts w:ascii="Arial" w:cs="Arial" w:eastAsia="Arial" w:hAnsi="Arial"/>
                <w:sz w:val="16"/>
                <w:szCs w:val="16"/>
                <w:color w:val="auto"/>
                <w:w w:val="96"/>
              </w:rPr>
              <w:t>Identification No.)</w:t>
            </w:r>
          </w:p>
        </w:tc>
      </w:tr>
      <w:tr>
        <w:trPr>
          <w:trHeight w:val="540"/>
        </w:trPr>
        <w:tc>
          <w:tcPr>
            <w:tcW w:w="3560" w:type="dxa"/>
            <w:vAlign w:val="bottom"/>
          </w:tcPr>
          <w:p>
            <w:pPr>
              <w:jc w:val="center"/>
              <w:ind w:right="1519"/>
              <w:spacing w:after="0"/>
              <w:rPr>
                <w:sz w:val="20"/>
                <w:szCs w:val="20"/>
                <w:color w:val="auto"/>
              </w:rPr>
            </w:pPr>
            <w:r>
              <w:rPr>
                <w:rFonts w:ascii="Arial" w:cs="Arial" w:eastAsia="Arial" w:hAnsi="Arial"/>
                <w:sz w:val="16"/>
                <w:szCs w:val="16"/>
                <w:b w:val="1"/>
                <w:bCs w:val="1"/>
                <w:color w:val="auto"/>
                <w:w w:val="89"/>
              </w:rPr>
              <w:t>2435 Commerce Ave.</w:t>
            </w:r>
          </w:p>
        </w:tc>
        <w:tc>
          <w:tcPr>
            <w:tcW w:w="2820" w:type="dxa"/>
            <w:vAlign w:val="bottom"/>
          </w:tcPr>
          <w:p>
            <w:pPr>
              <w:spacing w:after="0"/>
              <w:rPr>
                <w:sz w:val="24"/>
                <w:szCs w:val="24"/>
                <w:color w:val="auto"/>
              </w:rPr>
            </w:pPr>
          </w:p>
        </w:tc>
      </w:tr>
      <w:tr>
        <w:trPr>
          <w:trHeight w:val="270"/>
        </w:trPr>
        <w:tc>
          <w:tcPr>
            <w:tcW w:w="3560" w:type="dxa"/>
            <w:vAlign w:val="bottom"/>
          </w:tcPr>
          <w:p>
            <w:pPr>
              <w:jc w:val="center"/>
              <w:ind w:right="1519"/>
              <w:spacing w:after="0"/>
              <w:rPr>
                <w:sz w:val="20"/>
                <w:szCs w:val="20"/>
                <w:color w:val="auto"/>
              </w:rPr>
            </w:pPr>
            <w:r>
              <w:rPr>
                <w:rFonts w:ascii="Arial" w:cs="Arial" w:eastAsia="Arial" w:hAnsi="Arial"/>
                <w:sz w:val="16"/>
                <w:szCs w:val="16"/>
                <w:b w:val="1"/>
                <w:bCs w:val="1"/>
                <w:color w:val="auto"/>
                <w:w w:val="92"/>
              </w:rPr>
              <w:t>Building 2200</w:t>
            </w:r>
          </w:p>
        </w:tc>
        <w:tc>
          <w:tcPr>
            <w:tcW w:w="282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70"/>
        </w:trPr>
        <w:tc>
          <w:tcPr>
            <w:tcW w:w="3560" w:type="dxa"/>
            <w:vAlign w:val="bottom"/>
          </w:tcPr>
          <w:p>
            <w:pPr>
              <w:ind w:left="340"/>
              <w:spacing w:after="0"/>
              <w:rPr>
                <w:sz w:val="20"/>
                <w:szCs w:val="20"/>
                <w:color w:val="auto"/>
              </w:rPr>
            </w:pPr>
            <w:r>
              <w:rPr>
                <w:rFonts w:ascii="Arial" w:cs="Arial" w:eastAsia="Arial" w:hAnsi="Arial"/>
                <w:sz w:val="16"/>
                <w:szCs w:val="16"/>
                <w:b w:val="1"/>
                <w:bCs w:val="1"/>
                <w:color w:val="auto"/>
              </w:rPr>
              <w:t xml:space="preserve">Duluth </w:t>
            </w:r>
            <w:r>
              <w:rPr>
                <w:rFonts w:ascii="Arial" w:cs="Arial" w:eastAsia="Arial" w:hAnsi="Arial"/>
                <w:sz w:val="16"/>
                <w:szCs w:val="16"/>
                <w:color w:val="auto"/>
              </w:rPr>
              <w:t>,</w:t>
            </w:r>
            <w:r>
              <w:rPr>
                <w:rFonts w:ascii="Arial" w:cs="Arial" w:eastAsia="Arial" w:hAnsi="Arial"/>
                <w:sz w:val="16"/>
                <w:szCs w:val="16"/>
                <w:b w:val="1"/>
                <w:bCs w:val="1"/>
                <w:color w:val="auto"/>
              </w:rPr>
              <w:t xml:space="preserve"> Georgia</w:t>
            </w:r>
          </w:p>
        </w:tc>
        <w:tc>
          <w:tcPr>
            <w:tcW w:w="2820" w:type="dxa"/>
            <w:vAlign w:val="bottom"/>
          </w:tcPr>
          <w:p>
            <w:pPr>
              <w:jc w:val="center"/>
              <w:ind w:left="1539"/>
              <w:spacing w:after="0"/>
              <w:rPr>
                <w:sz w:val="20"/>
                <w:szCs w:val="20"/>
                <w:color w:val="auto"/>
              </w:rPr>
            </w:pPr>
            <w:r>
              <w:rPr>
                <w:rFonts w:ascii="Arial" w:cs="Arial" w:eastAsia="Arial" w:hAnsi="Arial"/>
                <w:sz w:val="16"/>
                <w:szCs w:val="16"/>
                <w:color w:val="auto"/>
                <w:w w:val="95"/>
              </w:rPr>
              <w:t>(Zip Code)</w:t>
            </w:r>
          </w:p>
        </w:tc>
      </w:tr>
    </w:tbl>
    <w:p>
      <w:pPr>
        <w:spacing w:after="0" w:line="64"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(Address of principal executive offices)</w:t>
      </w:r>
    </w:p>
    <w:p>
      <w:pPr>
        <w:spacing w:after="0" w:line="42"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76"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83" w:lineRule="exact"/>
        <w:rPr>
          <w:sz w:val="24"/>
          <w:szCs w:val="24"/>
          <w:color w:val="auto"/>
        </w:rPr>
      </w:pPr>
    </w:p>
    <w:p>
      <w:pPr>
        <w:ind w:right="6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w:t>
      </w:r>
    </w:p>
    <w:p>
      <w:pPr>
        <w:spacing w:after="0" w:line="11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42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Trading Symbol(s)</w:t>
            </w: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6"/>
        </w:trPr>
        <w:tc>
          <w:tcPr>
            <w:tcW w:w="4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Common stock, par value $0.01 per share</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EYE</w:t>
            </w:r>
          </w:p>
        </w:tc>
        <w:tc>
          <w:tcPr>
            <w:tcW w:w="4140" w:type="dxa"/>
            <w:vAlign w:val="bottom"/>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2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w:t>
      </w:r>
    </w:p>
    <w:p>
      <w:pPr>
        <w:spacing w:after="0" w:line="41" w:lineRule="exact"/>
        <w:rPr>
          <w:sz w:val="24"/>
          <w:szCs w:val="24"/>
          <w:color w:val="auto"/>
        </w:rPr>
      </w:pPr>
    </w:p>
    <w:p>
      <w:pPr>
        <w:spacing w:after="0" w:line="196" w:lineRule="exact"/>
        <w:tabs>
          <w:tab w:leader="none" w:pos="8320" w:val="left"/>
        </w:tabs>
        <w:rPr>
          <w:sz w:val="20"/>
          <w:szCs w:val="20"/>
          <w:color w:val="auto"/>
        </w:rPr>
      </w:pPr>
      <w:r>
        <w:rPr>
          <w:rFonts w:ascii="Arial" w:cs="Arial" w:eastAsia="Arial" w:hAnsi="Arial"/>
          <w:sz w:val="17"/>
          <w:szCs w:val="17"/>
          <w:color w:val="auto"/>
        </w:rPr>
        <w:t>any 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0205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05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020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7, 2020, National Vision Holdings, Inc. (“National Vision”) issued a press release announcing financial results for the quarter ended March 28, 2020. A copy of the release is furnished herewith as Exhibit 99.1 and incorporated by reference herein.</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in this Current Report on Form 8-K, including exhibits, is being furnished to the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18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ectPr>
          <w:pgSz w:w="11900" w:h="16838" w:orient="portrait"/>
          <w:cols w:equalWidth="0" w:num="1">
            <w:col w:w="11240"/>
          </w:cols>
          <w:pgMar w:left="320" w:top="55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160" w:type="dxa"/>
            <w:vAlign w:val="bottom"/>
          </w:tcPr>
          <w:p>
            <w:pPr>
              <w:ind w:left="2120"/>
              <w:spacing w:after="0"/>
              <w:rPr>
                <w:sz w:val="20"/>
                <w:szCs w:val="20"/>
                <w:color w:val="auto"/>
              </w:rPr>
            </w:pPr>
            <w:r>
              <w:rPr>
                <w:rFonts w:ascii="Arial" w:cs="Arial" w:eastAsia="Arial" w:hAnsi="Arial"/>
                <w:sz w:val="18"/>
                <w:szCs w:val="18"/>
                <w:b w:val="1"/>
                <w:bCs w:val="1"/>
                <w:color w:val="auto"/>
              </w:rPr>
              <w:t>EXHIBIT INDEX</w:t>
            </w:r>
          </w:p>
        </w:tc>
      </w:tr>
      <w:tr>
        <w:trPr>
          <w:trHeight w:val="338"/>
        </w:trPr>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Exhibit No.</w:t>
            </w:r>
          </w:p>
        </w:tc>
        <w:tc>
          <w:tcPr>
            <w:tcW w:w="108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7160" w:type="dxa"/>
            <w:vAlign w:val="bottom"/>
          </w:tcPr>
          <w:p>
            <w:pPr>
              <w:spacing w:after="0"/>
              <w:rPr>
                <w:sz w:val="24"/>
                <w:szCs w:val="24"/>
                <w:color w:val="auto"/>
              </w:rPr>
            </w:pPr>
          </w:p>
        </w:tc>
      </w:tr>
      <w:tr>
        <w:trPr>
          <w:trHeight w:val="291"/>
        </w:trPr>
        <w:tc>
          <w:tcPr>
            <w:tcW w:w="840" w:type="dxa"/>
            <w:vAlign w:val="bottom"/>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99.1</w:t>
              </w:r>
            </w:hyperlink>
          </w:p>
        </w:tc>
        <w:tc>
          <w:tcPr>
            <w:tcW w:w="108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National Vision Holdings, Inc. Press Release dated May 7, 2020.</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80" w:type="dxa"/>
            <w:vAlign w:val="bottom"/>
          </w:tcPr>
          <w:p>
            <w:pPr>
              <w:spacing w:after="0"/>
              <w:rPr>
                <w:sz w:val="23"/>
                <w:szCs w:val="23"/>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1"/>
              </w:rPr>
              <w:t>Cover page Interactive Data File - the cover page XBRL tags are embedded within the Inline XBRL document.</w:t>
            </w:r>
          </w:p>
        </w:tc>
      </w:tr>
    </w:tbl>
    <w:p>
      <w:pPr>
        <w:sectPr>
          <w:pgSz w:w="11900" w:h="16838" w:orient="portrait"/>
          <w:cols w:equalWidth="0" w:num="1">
            <w:col w:w="10099"/>
          </w:cols>
          <w:pgMar w:left="360" w:top="553" w:right="1440" w:bottom="1440" w:gutter="0" w:footer="0" w:header="0"/>
        </w:sectPr>
      </w:pPr>
    </w:p>
    <w:bookmarkStart w:id="3" w:name="page4"/>
    <w:bookmarkEnd w:id="3"/>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332"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486"/>
        </w:trPr>
        <w:tc>
          <w:tcPr>
            <w:tcW w:w="2700" w:type="dxa"/>
            <w:vAlign w:val="bottom"/>
          </w:tcPr>
          <w:p>
            <w:pPr>
              <w:spacing w:after="0"/>
              <w:rPr>
                <w:sz w:val="20"/>
                <w:szCs w:val="20"/>
                <w:color w:val="auto"/>
              </w:rPr>
            </w:pPr>
            <w:r>
              <w:rPr>
                <w:rFonts w:ascii="Arial" w:cs="Arial" w:eastAsia="Arial" w:hAnsi="Arial"/>
                <w:sz w:val="18"/>
                <w:szCs w:val="18"/>
                <w:color w:val="auto"/>
              </w:rPr>
              <w:t>Date: May 7, 2020</w:t>
            </w:r>
          </w:p>
        </w:tc>
        <w:tc>
          <w:tcPr>
            <w:tcW w:w="2720" w:type="dxa"/>
            <w:vAlign w:val="bottom"/>
          </w:tcPr>
          <w:p>
            <w:pPr>
              <w:ind w:left="1360"/>
              <w:spacing w:after="0"/>
              <w:rPr>
                <w:sz w:val="20"/>
                <w:szCs w:val="20"/>
                <w:color w:val="auto"/>
              </w:rPr>
            </w:pPr>
            <w:r>
              <w:rPr>
                <w:rFonts w:ascii="Arial" w:cs="Arial" w:eastAsia="Arial" w:hAnsi="Arial"/>
                <w:sz w:val="18"/>
                <w:szCs w:val="18"/>
                <w:color w:val="auto"/>
              </w:rPr>
              <w:t>By:</w:t>
            </w:r>
          </w:p>
        </w:tc>
        <w:tc>
          <w:tcPr>
            <w:tcW w:w="5220" w:type="dxa"/>
            <w:vAlign w:val="bottom"/>
          </w:tcPr>
          <w:p>
            <w:pPr>
              <w:ind w:left="20"/>
              <w:spacing w:after="0"/>
              <w:rPr>
                <w:sz w:val="20"/>
                <w:szCs w:val="20"/>
                <w:color w:val="auto"/>
              </w:rPr>
            </w:pPr>
            <w:r>
              <w:rPr>
                <w:rFonts w:ascii="Arial" w:cs="Arial" w:eastAsia="Arial" w:hAnsi="Arial"/>
                <w:sz w:val="18"/>
                <w:szCs w:val="18"/>
                <w:color w:val="auto"/>
              </w:rPr>
              <w:t>/s/ Jared Brandman</w:t>
            </w:r>
          </w:p>
        </w:tc>
      </w:tr>
      <w:tr>
        <w:trPr>
          <w:trHeight w:val="27"/>
        </w:trPr>
        <w:tc>
          <w:tcPr>
            <w:tcW w:w="2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7"/>
        </w:trPr>
        <w:tc>
          <w:tcPr>
            <w:tcW w:w="2700" w:type="dxa"/>
            <w:vAlign w:val="bottom"/>
          </w:tcPr>
          <w:p>
            <w:pPr>
              <w:spacing w:after="0"/>
              <w:rPr>
                <w:sz w:val="20"/>
                <w:szCs w:val="20"/>
                <w:color w:val="auto"/>
              </w:rPr>
            </w:pPr>
          </w:p>
        </w:tc>
        <w:tc>
          <w:tcPr>
            <w:tcW w:w="2720" w:type="dxa"/>
            <w:vAlign w:val="bottom"/>
          </w:tcPr>
          <w:p>
            <w:pPr>
              <w:ind w:left="1360"/>
              <w:spacing w:after="0"/>
              <w:rPr>
                <w:sz w:val="20"/>
                <w:szCs w:val="20"/>
                <w:color w:val="auto"/>
              </w:rPr>
            </w:pPr>
            <w:r>
              <w:rPr>
                <w:rFonts w:ascii="Arial" w:cs="Arial" w:eastAsia="Arial" w:hAnsi="Arial"/>
                <w:sz w:val="18"/>
                <w:szCs w:val="18"/>
                <w:color w:val="auto"/>
              </w:rPr>
              <w:t>Name:</w:t>
            </w:r>
          </w:p>
        </w:tc>
        <w:tc>
          <w:tcPr>
            <w:tcW w:w="5220" w:type="dxa"/>
            <w:vAlign w:val="bottom"/>
          </w:tcPr>
          <w:p>
            <w:pPr>
              <w:ind w:left="20"/>
              <w:spacing w:after="0"/>
              <w:rPr>
                <w:sz w:val="20"/>
                <w:szCs w:val="20"/>
                <w:color w:val="auto"/>
              </w:rPr>
            </w:pPr>
            <w:r>
              <w:rPr>
                <w:rFonts w:ascii="Arial" w:cs="Arial" w:eastAsia="Arial" w:hAnsi="Arial"/>
                <w:sz w:val="18"/>
                <w:szCs w:val="18"/>
                <w:color w:val="auto"/>
              </w:rPr>
              <w:t>Jared Brandman</w:t>
            </w:r>
          </w:p>
        </w:tc>
      </w:tr>
      <w:tr>
        <w:trPr>
          <w:trHeight w:val="270"/>
        </w:trPr>
        <w:tc>
          <w:tcPr>
            <w:tcW w:w="2700" w:type="dxa"/>
            <w:vAlign w:val="bottom"/>
          </w:tcPr>
          <w:p>
            <w:pPr>
              <w:spacing w:after="0"/>
              <w:rPr>
                <w:sz w:val="23"/>
                <w:szCs w:val="23"/>
                <w:color w:val="auto"/>
              </w:rPr>
            </w:pPr>
          </w:p>
        </w:tc>
        <w:tc>
          <w:tcPr>
            <w:tcW w:w="2720" w:type="dxa"/>
            <w:vAlign w:val="bottom"/>
          </w:tcPr>
          <w:p>
            <w:pPr>
              <w:ind w:left="1360"/>
              <w:spacing w:after="0"/>
              <w:rPr>
                <w:sz w:val="20"/>
                <w:szCs w:val="20"/>
                <w:color w:val="auto"/>
              </w:rPr>
            </w:pPr>
            <w:r>
              <w:rPr>
                <w:rFonts w:ascii="Arial" w:cs="Arial" w:eastAsia="Arial" w:hAnsi="Arial"/>
                <w:sz w:val="18"/>
                <w:szCs w:val="18"/>
                <w:color w:val="auto"/>
              </w:rPr>
              <w:t>Title:</w:t>
            </w:r>
          </w:p>
        </w:tc>
        <w:tc>
          <w:tcPr>
            <w:tcW w:w="522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0960"/>
          </w:cols>
          <w:pgMar w:left="320" w:top="553" w:right="619" w:bottom="1440" w:gutter="0" w:footer="0" w:header="0"/>
        </w:sectPr>
      </w:pPr>
    </w:p>
    <w:bookmarkStart w:id="4" w:name="page5"/>
    <w:bookmarkEnd w:id="4"/>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891540" cy="891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9154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National Vision Holdings, Inc. Reports First Quarter 2020 Financial Results</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revenue increased 1.8% to $469.7 million</w:t>
      </w:r>
    </w:p>
    <w:p>
      <w:pPr>
        <w:spacing w:after="0" w:line="23"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Negative comparable store sales growth of (2.9)%; Adjusted Comparable Store Sales Growth of (10.3)%</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income decreased 44.1% to $9.7 million; Diluted EPS decreased 44.6% to $0.12</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decreased 0.3% to $61.0 million</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Operating Income decreased 10.8% to $38.1 million</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Diluted EPS decreased 9.4% to $0.28</w:t>
      </w:r>
    </w:p>
    <w:p>
      <w:pPr>
        <w:spacing w:after="0" w:line="2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Duluth, Ga. </w:t>
      </w:r>
      <w:r>
        <w:rPr>
          <w:rFonts w:ascii="Arial" w:cs="Arial" w:eastAsia="Arial" w:hAnsi="Arial"/>
          <w:sz w:val="18"/>
          <w:szCs w:val="18"/>
          <w:color w:val="auto"/>
        </w:rPr>
        <w:t>--</w:t>
      </w:r>
      <w:r>
        <w:rPr>
          <w:rFonts w:ascii="Arial" w:cs="Arial" w:eastAsia="Arial" w:hAnsi="Arial"/>
          <w:sz w:val="18"/>
          <w:szCs w:val="18"/>
          <w:b w:val="1"/>
          <w:bCs w:val="1"/>
          <w:color w:val="auto"/>
        </w:rPr>
        <w:t xml:space="preserve"> May 7, 2020 </w:t>
      </w:r>
      <w:r>
        <w:rPr>
          <w:rFonts w:ascii="Arial" w:cs="Arial" w:eastAsia="Arial" w:hAnsi="Arial"/>
          <w:sz w:val="18"/>
          <w:szCs w:val="18"/>
          <w:color w:val="auto"/>
        </w:rPr>
        <w:t>-- National Vision Holdings, Inc. (NASDAQ: EYE) (“National Vision” or the “Company”) today reported its financial results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first quarter ended March 28, 2020.</w:t>
      </w:r>
    </w:p>
    <w:p>
      <w:pPr>
        <w:spacing w:after="0" w:line="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COVID-19 pandemic has affected all of us as individuals and most U.S. companies,” stated Reade Fahs, chief executive officer. “Our hearts go out to those suffering from the disease and our praise and appreciation go out to the heroic front line healthcare workers throughout the country who are treating those living with the disease.”</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Fahs further commented, “As safety concerns mounted in mid-March, we acted rapidly with the best interests of the safety of our teams, customers, and communities in mind. With the temporary closing of our stores on March 19, our quarterly results are a tale of two periods. Pre-COVID-19, in January and February, our business was robust with continued sales momentum building on the strong results in the latter half of 2019. In response to the COVID-19 crisis and our temporary store closure, we shifted to solidifying our financial well-being, focusing on our liquidity position and implementing numerous near-term cost reduction efforts.”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Fahs continued, “While our doors were temporarily locked to the public, our stores were staffed with skeleton crews to meet the essential eye care and eyewear needs of patients and customers. The past seven weeks have been a vivid reminder of the fact that the optical services and products we offer truly are a medical necessity. There have been a great many stories of associates and optometrists who have gone above and beyond to provide exceptional customer and patient care amidst adverse circumstances. Last week, we began the process of safely and gradually re-opening our stores to the public. Given the state of the economy and the financial hardships it is creating for so many, we believe patients and customers will need and appreciate our affordably priced optical products and services even more.”</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Fahs concluded, “In thinking about the events of the last several weeks and how the entire National Vision team has risen to its challenges, I could not be more proud and appreciative of their inspiring endurance amidst shared sacrifice and strife. While the road ahead is still uncertain, I am confident the entire National Vision team, and our network of more than 2,000 optometrists practicing alongside our stores, will emerge from this extraordinary experience stronger from the adversity we will have overcome together.”</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Adjusted Comparable Store Sales Growth, Adjusted EBITDA, Adjusted Operating Income, Adjusted Diluted EPS, Adjusted Operating Margin, Adjusted EBITDA Margin, and EBITDA are not measures recognized under generally accepted accounting principles (</w:t>
      </w: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w:t>
      </w:r>
      <w:r>
        <w:rPr>
          <w:rFonts w:ascii="Arial" w:cs="Arial" w:eastAsia="Arial" w:hAnsi="Arial"/>
          <w:sz w:val="18"/>
          <w:szCs w:val="18"/>
          <w:i w:val="1"/>
          <w:iCs w:val="1"/>
          <w:color w:val="auto"/>
        </w:rPr>
        <w:t xml:space="preserve">). Please see </w:t>
      </w:r>
      <w:r>
        <w:rPr>
          <w:rFonts w:ascii="Arial" w:cs="Arial" w:eastAsia="Arial" w:hAnsi="Arial"/>
          <w:sz w:val="18"/>
          <w:szCs w:val="18"/>
          <w:color w:val="auto"/>
        </w:rPr>
        <w:t>“</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Reconciliation of Non-GAAP to GAAP Financial Measures</w:t>
      </w:r>
      <w:r>
        <w:rPr>
          <w:rFonts w:ascii="Arial" w:cs="Arial" w:eastAsia="Arial" w:hAnsi="Arial"/>
          <w:sz w:val="18"/>
          <w:szCs w:val="18"/>
          <w:color w:val="auto"/>
        </w:rPr>
        <w:t>”</w:t>
      </w:r>
      <w:r>
        <w:rPr>
          <w:rFonts w:ascii="Arial" w:cs="Arial" w:eastAsia="Arial" w:hAnsi="Arial"/>
          <w:sz w:val="18"/>
          <w:szCs w:val="18"/>
          <w:i w:val="1"/>
          <w:iCs w:val="1"/>
          <w:color w:val="auto"/>
        </w:rPr>
        <w:t xml:space="preserve"> below for more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Response Update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19, 2020, the Company temporarily closed all of its stores to the public and, on April 7, it temporarily furloughed a significant portion of its employees. On April 23, 2020, the Company announced plans to reopen stores selectively over the coming weeks with a goal for all stores within its family of retail brands to be open to the public by early June. In response to the evolving and uncertain situation, we have taken aggressive actions that we believe are prudent in these circumstances, including:</w:t>
      </w:r>
    </w:p>
    <w:p>
      <w:pPr>
        <w:spacing w:after="0" w:line="79" w:lineRule="exact"/>
        <w:rPr>
          <w:sz w:val="20"/>
          <w:szCs w:val="20"/>
          <w:color w:val="auto"/>
        </w:rPr>
      </w:pPr>
    </w:p>
    <w:p>
      <w:pPr>
        <w:ind w:left="340" w:hanging="332"/>
        <w:spacing w:after="0" w:line="34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Borrowed in March 2020 the remaining $146.3 million in available funds under our revolving credit facility, as a precautionary measure to preserve financial flexibility. The total borrowings outstanding as of quarter end of $300 million represents the maximum borrowings permitted thereunder;</w:t>
      </w:r>
    </w:p>
    <w:p>
      <w:pPr>
        <w:sectPr>
          <w:pgSz w:w="11900" w:h="16838" w:orient="portrait"/>
          <w:cols w:equalWidth="0" w:num="1">
            <w:col w:w="11240"/>
          </w:cols>
          <w:pgMar w:left="320" w:top="121" w:right="339" w:bottom="1440" w:gutter="0" w:footer="0" w:header="0"/>
        </w:sectPr>
      </w:pPr>
    </w:p>
    <w:bookmarkStart w:id="5" w:name="page6"/>
    <w:bookmarkEnd w:id="5"/>
    <w:p>
      <w:pPr>
        <w:jc w:val="both"/>
        <w:ind w:left="340" w:hanging="332"/>
        <w:spacing w:after="0" w:line="252"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 May 5, 2020, the Company and the lenders under its credit facility entered into an amendment of the facility. This amendment is intended to prevent the effects of the COVID-19 pandemic, including the temporary closure of our stores, from creating uncertainty relative to our ability to comply with certain financial covenants and allow the Company to focus on prudent management of the business over the quarters ahead. The amendment suspends certain financial maintenance covenants contained in the facility until testing at the end of the second fiscal quarter of 2021. As part of the amendment, the Company among other things agreed to modify the rate of interest paid under the facility and to limit its ability to engage in certain transactions during the covenant suspension period, including the ability to declare or pay dividends, incur additional debt and make investments and dispositions;</w:t>
      </w:r>
    </w:p>
    <w:p>
      <w:pPr>
        <w:spacing w:after="0" w:line="5"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Reduced compensation and work hours across the organization. CEO Reade Fahs has elected to reduce his base salary to $1 for the remainder of 2020, and each of the other members of the senior management team have elected to take significant reductions in base salary. The members of the Board of Directors also have elected to reduce the remainder of their respective annual cash retainer fees for 2020 to $1 for their service on the Board;</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Postponed a significant amount of planned capital expenditures in fiscal 2020, including a pause in new store openings;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near term marketing, non-essential travel and other discretionary spend;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Working with a base of vendors and landlords to extend payment terms and modify existing contracts; and</w:t>
      </w:r>
    </w:p>
    <w:p>
      <w:pPr>
        <w:spacing w:after="0" w:line="9"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Implementing applicable benefits of the Coronavirus Aid, Relief and Economic Security Act (CARES Act), such as utilizing the employee retention credit and deferring employer payroll taxes.</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we anticipate that these measures are temporary, their specific duration has a high degree of uncertainty and we may elect or need to take additional operational and financial measures as we continue to assess the evolving situation, including obtaining additional debt and/or equity capital to provide further liquidity in the coming months.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2020 Summary</w:t>
      </w:r>
    </w:p>
    <w:p>
      <w:pPr>
        <w:spacing w:after="0" w:line="12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 increased 1.8% to $469.7 million from $461.2 million for the first quarter of 2019.</w:t>
      </w:r>
    </w:p>
    <w:p>
      <w:pPr>
        <w:spacing w:after="0" w:line="23"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Net revenue was positively impacted by 6.0% due to the timing of unearned revenue, which resulted in material benefits to net revenue and profitability. While the Company usually experiences an increase in unearned revenue for sales in the last seven to ten days of each quarter, the closure of stores on March 19, 2020 through the end of the first quarter caused virtually all of this increase to not be realized. As a result, the Company experienced a decrease in unearned revenue of $19.9 million compared to an increase in unearned revenue of $7.8 million for the first quarter of 2019.</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Comparable store sales growth was (2.9)% and Adjusted Comparable Store Sales Growth was (10.3)%.</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light of its temporary store closures, the Company is providing certain additional comparable store sales information. For the two months ended February 29, 2020 and the one month ended March 28, 2020, comparable store sales growth was 5.6% and (18.8)%, respectively, and Adjusted Comparable Store Sales Growth was 5.7% and (41.5)%, respectively.</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opened 23 new stores, closed one store and ended the quarter with 1,173 stores.</w:t>
      </w:r>
    </w:p>
    <w:p>
      <w:pPr>
        <w:spacing w:after="0" w:line="9"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Costs applicable to revenue increased 3.1% to $218.6 million from $212.0 million for the first quarter of 2019. As a percentage of net revenue, costs applicable to revenue increased 50 basis points to 46.5% from 46.0% for the first quarter of 2019. This increase as a percentage of net revenue was primarily driven by optometrist costs incurred during store closures as well as contact lens revenue growth, partially offset by higher eyeglass margin.</w:t>
      </w:r>
    </w:p>
    <w:p>
      <w:pPr>
        <w:spacing w:after="0" w:line="1"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Selling, general and administrative expenses (“SG&amp;A”) decreased 0.1% to $193.7 million from $193.9 million for the first quarter of 2019. As a percentage of net revenue, SG&amp;A decreased 80 basis points to 41.2% from 42.0% for the first quarter of 2019. This decrease as a percentage of net revenue was primarily driven by the recognition of unearned revenue noted above as well as lower performance-based incentive compensation, partially offset by deleveraging of store payroll expense due to store closures.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decreased 44.1% to $9.7 million compared to net income of $17.4 million for the first quarter of 2019.</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Diluted earnings per share decreased 44.6% to $0.12 per share compared to diluted earnings per share of $0.21 for the first quarter of 2019. Adjusted Diluted EPS decreased 9.4% to $0.28 compared to $0.31 per diluted share for the first quarter of 2019. The net change in margin on unearned revenue positively impacted Adjusted Diluted EPS by $0.19.</w:t>
      </w:r>
    </w:p>
    <w:p>
      <w:pPr>
        <w:spacing w:after="0" w:line="1" w:lineRule="exact"/>
        <w:rPr>
          <w:rFonts w:ascii="Arial" w:cs="Arial" w:eastAsia="Arial" w:hAnsi="Arial"/>
          <w:sz w:val="18"/>
          <w:szCs w:val="18"/>
          <w:color w:val="auto"/>
        </w:rPr>
      </w:pPr>
    </w:p>
    <w:p>
      <w:pPr>
        <w:jc w:val="both"/>
        <w:ind w:left="340" w:right="2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decreased 0.3% to $61.0 million compared to $61.2 million for the first quarter of 2019. The net change in margin on unearned revenue positively impacted year-over-year Adjusted EBITDA growth by 33.7%. Adjusted EBITDA Margin decreased 30 basis points to 13.0% from 13.3% for the first quarter of 2019.</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Operating Income decreased 10.8% to $38.1 million compared to $42.7 million for the first quarter of 2019. The net change in margin on unearned revenue positively impacted year-over-year Adjusted Operating Income growth by 48.3%. Adjusted Operating Margin decreased 110 basis points to 8.1% from 9.2% for the first quarter of 2019.</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 Highlights as of March 28, 2020</w:t>
      </w:r>
    </w:p>
    <w:p>
      <w:pPr>
        <w:spacing w:after="0" w:line="121" w:lineRule="exact"/>
        <w:rPr>
          <w:sz w:val="20"/>
          <w:szCs w:val="20"/>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cash balance was $263.2 million as of March 28, 2020. The Company had $294.3 million in borrowings under its $300.0 million first lien revolving credit facility, exclusive of letters of credit of $5.7 million.</w:t>
      </w:r>
    </w:p>
    <w:p>
      <w:pPr>
        <w:sectPr>
          <w:pgSz w:w="11900" w:h="16838" w:orient="portrait"/>
          <w:cols w:equalWidth="0" w:num="1">
            <w:col w:w="11240"/>
          </w:cols>
          <w:pgMar w:left="320" w:top="341" w:right="339" w:bottom="1440" w:gutter="0" w:footer="0" w:header="0"/>
        </w:sectPr>
      </w:pPr>
    </w:p>
    <w:bookmarkStart w:id="6" w:name="page7"/>
    <w:bookmarkEnd w:id="6"/>
    <w:p>
      <w:pPr>
        <w:jc w:val="both"/>
        <w:ind w:left="340" w:hanging="332"/>
        <w:spacing w:after="0" w:line="255"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debt was $716.8 million as of March 28, 2020, consisting of outstanding first lien term loans, first lien revolving credit facility and finance lease obligations. As noted above, in March 2020, the Company borrowed the remaining $146.3 million in available funds under its revolving credit facility as a precautionary measure to preserve financial flexibility.</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flows from operating activities for the first quarter of 2020 were $86.1 million compared to $83.0 million for the first quarter of 2019.</w:t>
      </w:r>
    </w:p>
    <w:p>
      <w:pPr>
        <w:spacing w:after="0" w:line="9" w:lineRule="exact"/>
        <w:rPr>
          <w:rFonts w:ascii="Arial" w:cs="Arial" w:eastAsia="Arial" w:hAnsi="Arial"/>
          <w:sz w:val="18"/>
          <w:szCs w:val="18"/>
          <w:color w:val="auto"/>
        </w:rPr>
      </w:pPr>
    </w:p>
    <w:p>
      <w:pPr>
        <w:ind w:left="340" w:right="20" w:hanging="332"/>
        <w:spacing w:after="0" w:line="26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expenditures for the first quarter of 2020 totaled $13.1 million compared to $26.0 million for the first quarter of 2019, primarily due to the planned timing and postponement of capital projects.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2020 Outlook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27, 2020, given the ongoing uncertainty surrounding the magnitude and duration of the COVID-19 pandemic and its impact on the U.S., the Company withdrew its previously issued fiscal 2020 outlook.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A conference call to discuss the first quarter 2020 financial results is scheduled for today, May 7, 2020, at 10:00 a.m. Eastern Time. The U.S. toll free dial-in for the conference call is 866-754-6931 and the international dial-in is 636-812-6625. The conference passcode is 3243907. A live audio webcast of the conference call will be available on the “Investors” section of the Company’s website </w:t>
      </w:r>
      <w:r>
        <w:rPr>
          <w:rFonts w:ascii="Arial" w:cs="Arial" w:eastAsia="Arial" w:hAnsi="Arial"/>
          <w:sz w:val="18"/>
          <w:szCs w:val="18"/>
          <w:u w:val="single" w:color="auto"/>
          <w:color w:val="0000FF"/>
        </w:rPr>
        <w:t>www.nationalvision.com/investors</w:t>
      </w:r>
      <w:r>
        <w:rPr>
          <w:rFonts w:ascii="Arial" w:cs="Arial" w:eastAsia="Arial" w:hAnsi="Arial"/>
          <w:sz w:val="18"/>
          <w:szCs w:val="18"/>
          <w:color w:val="auto"/>
        </w:rPr>
        <w:t>, where presentation materials will be posted prior to the conference call.</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telephone replay will be available shortly after the broadcast through Thursday, May 14, 2020, by dialing 855-859-2056 from the U.S. or 404-537-3406 from international locations, and entering conference passcode 3243907. A replay of the audio webcast will also be archived on the “Investors” section of the Company’s website.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National Vision Holdings, Inc.</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National Vision Holdings, Inc. is one of the largest optical retail companies in the United States with over 1,100 retail stores in 44 states plus the District of Columbia and Puerto Rico. With a mission of helping people by making quality eyecare and eyewear more affordable and accessible, the Company operates five retail brands: America’s Best Contacts &amp; Eyeglasses, Eyeglass World, Vision Centers inside select Walmart stores, Vista Opticals inside Fred Meyer stores and on select military bases, and several e-commerce websites, offering a variety of products and services for customers’ eyecare needs.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related to our current beliefs and expectations regarding the performance of our industry, the Company's strategic direction, market position, prospects and future results. You can identify these forward-looking statements by the use of words such as “outlook,” “guidance,” “believes,” “expects,” “potential,” “continues,” “may,” “will,” “should,” “could,” “seeks,” “projects,” “predicts,”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the forward-looking statements. Such factors include, but are not limited to, the scale and scope of the novel coronavirus, or COVID-19, pandemic is unknown and, due to the temporary closure of our stores to the public and other factors, is adversely impacting, and is expected to continue to adversely impact, our business at least for the near term, including the impact of federal, state, and local governmental actions and customer behavior in response to the pandemic and such governmental actions and operational disruptions if a significant percentage of our workforce is unable to work or we experience labor shortages, including because of illness or travel or government restrictions in connection with the pandemic; our ability to selectively re-open stores as announced and to open and operate new stores in a timely and cost-effective manner, and to successfully enter new markets; our ability to recruit and retain vision care professionals for our stores; our ability to develop and maintain relationships with managed vision care companies, vision insurance providers and other third-party payors; our ability to maintain the performance of our host and legacy brands and our current operating relationships with our host and legacy partners; our ability to adhere to extensive state, local and federal vision care and healthcare laws and regulations; our compliance with managed vision care laws and regulations; our ability to maintain sufficient levels of cash flow from our operations to execute or sustain our growth strategy; the loss of, or disruption in the operations of, one or more of our distribution centers and/or optical laboratories, resulting in the inability to fulfill customer orders and deliver our products in a timely manner; risks associated with vendors from whom our products are sourced, including our dependence on a limited number of suppliers; our ability to successfully compete in the highly competitive optical retail industry; any failure, inadequacy, interruption, security failure or breach of our information technology systems; our growth strategy straining our existing resources and causing the performance of our existing stores to suffer; the impact of wage rate increases, inflation, cost increases and increases in raw material prices and energy prices; our ability to successfully implement our marketing, advertising and promotional efforts; risks associated with leasing substantial amounts of</w:t>
      </w:r>
    </w:p>
    <w:p>
      <w:pPr>
        <w:sectPr>
          <w:pgSz w:w="11900" w:h="16838" w:orient="portrait"/>
          <w:cols w:equalWidth="0" w:num="1">
            <w:col w:w="11240"/>
          </w:cols>
          <w:pgMar w:left="320" w:top="341" w:right="339" w:bottom="1440" w:gutter="0" w:footer="0" w:header="0"/>
        </w:sectPr>
      </w:pPr>
    </w:p>
    <w:bookmarkStart w:id="7" w:name="page8"/>
    <w:bookmarkEnd w:id="7"/>
    <w:p>
      <w:pPr>
        <w:jc w:val="both"/>
        <w:spacing w:after="0" w:line="267" w:lineRule="auto"/>
        <w:rPr>
          <w:sz w:val="20"/>
          <w:szCs w:val="20"/>
          <w:color w:val="auto"/>
        </w:rPr>
      </w:pPr>
      <w:r>
        <w:rPr>
          <w:rFonts w:ascii="Arial" w:cs="Arial" w:eastAsia="Arial" w:hAnsi="Arial"/>
          <w:sz w:val="17"/>
          <w:szCs w:val="17"/>
          <w:color w:val="auto"/>
        </w:rPr>
        <w:t>space, including future increases in occupancy costs; the impact of certain technological advances, and the greater availability of, or increased consumer preferences for, vision correction alternatives to prescription eyeglasses or contact lenses, and future drug development for the correction of vision-related problems; our ability to retain our existing senior management team and attract qualified new personnel; overall decline in the health of the economy and consumer spending affecting consumer purchases; our ability to manage our inventory balances and inventory shrinkage; seasonal fluctuations in our operating results and inventory levels; our reliance on third-party coverage and reimbursement, including government programs, for an increasing portion of our revenues; risks associated with our e-commerce business; product liability, product recall or personal injury issues; our failure to comply with, or changes in, laws, regulations, enforcement activities and other requirements; the impact of any adverse litigation judgments or settlements resulting from legal proceedings relating to our business operations; risks of losses arising from our investments in technological innovators in the optical retail industry; our ability to adequately protect our intellectual property; our significant amount of indebtedness and our ability to generate sufficient cash flow to satisfy our significant debt service obligations; an increase in interest rates as well as changes in benchmark rates and uncertainty related to the foregoing; restrictions in our credit agreement that limits our flexibility in operating our business; and risks related to owning our common stock, including our ability to comply with requirements to design and implement and maintain effective internal controls. Additional information about these and other factors that could cause National Vision’s results to differ materially from those described in the forward-looking statements can be found in filings by National Vision with the Securities and Exchange Commission (“SEC”), including our Annual Report on Form 10-K, our Form 8-K filed on March 19, 2020, our Quarterly Report on Form 10-Q filed on May 7, 2020, and subsequent filings with the SEC, which are accessible on the SEC’s website at www.sec.gov. These factors should not be construed as exhaustive and should be read in conjunction with the other cautionary statements that are included in this release and in our filings with the SEC.</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supplement the Company’s financial information presented in accordance with GAAP and aid understanding of the Company’s business performance, the Company uses certain non-GAAP financial measures, namely “EBITDA,” “Adjusted EBITDA,” “Adjusted EBITDA Margin,” “Adjusted Operating Income,” “Adjusted Operating Margin,”, “Adjusted Diluted EPS,” “Adjusted SG&amp;A” and “Adjusted SG&amp;A Percent of Net Revenue.” We believe EBITDA, Adjusted EBITDA, Adjusted EBITDA Margin, Adjusted Operating Income, Adjusted Operating Margin, Adjusted Diluted EPS, Adjusted SG&amp;A and Adjusted SG&amp;A Percent of Net Revenue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2020, we introduced Adjusted Operating Income and Adjusted Operating Margin as measures of performance we will use in connection with Adjusted EBITDA, Adjusted EBITDA Margin and Adjusted Diluted EPS. Further, consistent with our presentation of Adjusted Operating Income, we no longer exclude new store pre-opening expenses and non-cash rent from our presentation of Adjusted EBITDA and Adjusted Diluted EPS. See our Form 8-K filed with the SEC on February 26, 2020 for more information.</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Beginning with the first quarter of fiscal 2020, the Company updated its definitions of Adjusted EBITDA, Adjusted SG&amp;A, and Adjusted Diluted EPS discussed below, so that they no longer exclude new store pre-opening expenses and non-cash rent.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EBITDA: </w:t>
      </w:r>
      <w:r>
        <w:rPr>
          <w:rFonts w:ascii="Arial" w:cs="Arial" w:eastAsia="Arial" w:hAnsi="Arial"/>
          <w:sz w:val="18"/>
          <w:szCs w:val="18"/>
          <w:color w:val="auto"/>
        </w:rPr>
        <w:t>We define EBITDA as net income, plus interest expense, income tax provision and depreciation and amortization.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We define Adjusted EBITDA as net income, plus interest expense, income tax provision and depreciation and amortization,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to exclude stock compensation expense, loss on extinguishment of debt, asset impairment, litigation settlement, secondary offering expenses, management realignment expenses, long-term incentive plan expenses, and other expenses.</w:t>
      </w:r>
    </w:p>
    <w:p>
      <w:pPr>
        <w:sectPr>
          <w:pgSz w:w="11900" w:h="16838" w:orient="portrait"/>
          <w:cols w:equalWidth="0" w:num="1">
            <w:col w:w="11240"/>
          </w:cols>
          <w:pgMar w:left="320" w:top="34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 xml:space="preserve">Adjusted EBITDA Margin: </w:t>
      </w:r>
      <w:r>
        <w:rPr>
          <w:rFonts w:ascii="Arial" w:cs="Arial" w:eastAsia="Arial" w:hAnsi="Arial"/>
          <w:sz w:val="18"/>
          <w:szCs w:val="18"/>
          <w:color w:val="auto"/>
        </w:rPr>
        <w:t>We define Adjusted EBITDA Margin as Adjusted EBITDA as a percentage of net revenue.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Adjusted Operating Income: </w:t>
      </w:r>
      <w:r>
        <w:rPr>
          <w:rFonts w:ascii="Arial" w:cs="Arial" w:eastAsia="Arial" w:hAnsi="Arial"/>
          <w:sz w:val="18"/>
          <w:szCs w:val="18"/>
          <w:color w:val="auto"/>
        </w:rPr>
        <w:t>We define Adjusted Operating Income as net income, plus interest expense and income tax provision, further adjusted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exclude stock compensation expense, asset impairment, litigation settlement, secondary offering expenses, management realignment expenses, long-term incentive plan expenses, amortization of acquisition intangibles, and other expenses.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Operating Margin: </w:t>
      </w:r>
      <w:r>
        <w:rPr>
          <w:rFonts w:ascii="Arial" w:cs="Arial" w:eastAsia="Arial" w:hAnsi="Arial"/>
          <w:sz w:val="18"/>
          <w:szCs w:val="18"/>
          <w:color w:val="auto"/>
        </w:rPr>
        <w:t>We define Adjusted Operating Margin as Adjusted Operating Income as a percentage of net revenue.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Adjusted Diluted EPS: </w:t>
      </w:r>
      <w:r>
        <w:rPr>
          <w:rFonts w:ascii="Arial" w:cs="Arial" w:eastAsia="Arial" w:hAnsi="Arial"/>
          <w:sz w:val="18"/>
          <w:szCs w:val="18"/>
          <w:color w:val="auto"/>
        </w:rPr>
        <w:t>We define Adjusted Diluted EPS as diluted earnings per share, adjusted for the per share impact of stock compensation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 on extinguishment of debt, asset impairment, litigation settlement, secondary offering expenses, management realignment expenses, long-term incentive plan expenses, other expenses, amortization of acquisition intangibles and deferred financing costs, and tax benefit of stock option exercises, less the tax effect of these adjustments.</w:t>
      </w:r>
    </w:p>
    <w:p>
      <w:pPr>
        <w:spacing w:after="0" w:line="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Adjusted SG&amp;A: </w:t>
      </w:r>
      <w:r>
        <w:rPr>
          <w:rFonts w:ascii="Arial" w:cs="Arial" w:eastAsia="Arial" w:hAnsi="Arial"/>
          <w:sz w:val="16"/>
          <w:szCs w:val="16"/>
          <w:color w:val="auto"/>
        </w:rPr>
        <w:t>We define Adjusted SG&amp;A as SG&amp;A, adjusted to exclude stock compensation expense, secondary offering expenses,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realignment expenses, long-term incentive plan expenses, and other expenses except for the share of losses on equity method investments.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SG&amp;A Percent of Net Revenue: </w:t>
      </w:r>
      <w:r>
        <w:rPr>
          <w:rFonts w:ascii="Arial" w:cs="Arial" w:eastAsia="Arial" w:hAnsi="Arial"/>
          <w:sz w:val="18"/>
          <w:szCs w:val="18"/>
          <w:color w:val="auto"/>
        </w:rPr>
        <w:t>We define Adjusted SG&amp;A Percent of Net Revenue as Adjusted SG&amp;A divided by net revenue.</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Adjusted Comparable Store Sales Growth: </w:t>
      </w:r>
      <w:r>
        <w:rPr>
          <w:rFonts w:ascii="Arial" w:cs="Arial" w:eastAsia="Arial" w:hAnsi="Arial"/>
          <w:sz w:val="16"/>
          <w:szCs w:val="16"/>
          <w:color w:val="auto"/>
        </w:rPr>
        <w:t>We measure Adjusted Comparable Store Sales Growth as the increase or decrease in sales recorded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 We did not adjust our calculation of Adjusted Comparable Store Sales Growth for the temporary closure of our stores to the public as a result of the COVID-19 pandemic.</w:t>
      </w:r>
    </w:p>
    <w:p>
      <w:pPr>
        <w:spacing w:after="0" w:line="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EBITDA, Adjusted EBITDA, Adjusted EBITDA Margin, Adjusted Operating Income, Adjusted Operating Margin, Adjusted Diluted EPS, Adjusted SG&amp;A, Adjusted SG&amp;A Percent of Net Revenue, and Adjusted Comparable Store Sales Growth are not recognized terms under GAAP and should not be considered as an alternative to net income (loss), the ratio of net income (loss) to net revenue as a measure of financial performance, SG&amp;A, the ratio of SG&amp;A to net revenue as a measure of financial performance, cash flows provided by operating activities as a measure of liquidity, comparable store sales growth as a measure of operating performance,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Please see “Reconciliation of Non-GAAP to GAAP Financial Measures” below for reconciliations of non-GAAP financial measures used in this release to their most directly comparable GAAP financial measures.</w:t>
      </w:r>
    </w:p>
    <w:p>
      <w:pPr>
        <w:sectPr>
          <w:pgSz w:w="11900" w:h="16838" w:orient="portrait"/>
          <w:cols w:equalWidth="0" w:num="1">
            <w:col w:w="11240"/>
          </w:cols>
          <w:pgMar w:left="320" w:top="34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28, 2020 and December 28,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Par Value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8"/>
                <w:szCs w:val="18"/>
                <w:color w:val="auto"/>
              </w:rPr>
            </w:pPr>
          </w:p>
        </w:tc>
        <w:tc>
          <w:tcPr>
            <w:tcW w:w="1860" w:type="dxa"/>
            <w:vAlign w:val="bottom"/>
            <w:gridSpan w:val="2"/>
          </w:tcPr>
          <w:p>
            <w:pPr>
              <w:jc w:val="center"/>
              <w:ind w:right="380"/>
              <w:spacing w:after="0"/>
              <w:rPr>
                <w:sz w:val="20"/>
                <w:szCs w:val="20"/>
                <w:color w:val="auto"/>
              </w:rPr>
            </w:pPr>
            <w:r>
              <w:rPr>
                <w:rFonts w:ascii="Arial" w:cs="Arial" w:eastAsia="Arial" w:hAnsi="Arial"/>
                <w:sz w:val="18"/>
                <w:szCs w:val="18"/>
                <w:color w:val="auto"/>
                <w:w w:val="97"/>
              </w:rPr>
              <w:t>As of</w:t>
            </w:r>
          </w:p>
        </w:tc>
        <w:tc>
          <w:tcPr>
            <w:tcW w:w="200" w:type="dxa"/>
            <w:vAlign w:val="bottom"/>
          </w:tcPr>
          <w:p>
            <w:pPr>
              <w:spacing w:after="0"/>
              <w:rPr>
                <w:sz w:val="18"/>
                <w:szCs w:val="18"/>
                <w:color w:val="auto"/>
              </w:rPr>
            </w:pPr>
          </w:p>
        </w:tc>
        <w:tc>
          <w:tcPr>
            <w:tcW w:w="1820" w:type="dxa"/>
            <w:vAlign w:val="bottom"/>
          </w:tcPr>
          <w:p>
            <w:pPr>
              <w:jc w:val="right"/>
              <w:ind w:right="73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March 28, 2020</w:t>
            </w:r>
          </w:p>
        </w:tc>
        <w:tc>
          <w:tcPr>
            <w:tcW w:w="200" w:type="dxa"/>
            <w:vAlign w:val="bottom"/>
          </w:tcPr>
          <w:p>
            <w:pPr>
              <w:spacing w:after="0"/>
              <w:rPr>
                <w:sz w:val="20"/>
                <w:szCs w:val="20"/>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color w:val="auto"/>
                <w:w w:val="94"/>
              </w:rPr>
              <w:t>December 28, 2019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263,154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39,342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44,475</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130,372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127,556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20,095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23,266</w:t>
            </w:r>
          </w:p>
        </w:tc>
        <w:tc>
          <w:tcPr>
            <w:tcW w:w="0" w:type="dxa"/>
            <w:vAlign w:val="bottom"/>
          </w:tcPr>
          <w:p>
            <w:pPr>
              <w:spacing w:after="0"/>
              <w:rPr>
                <w:sz w:val="1"/>
                <w:szCs w:val="1"/>
                <w:color w:val="auto"/>
              </w:rPr>
            </w:pPr>
          </w:p>
        </w:tc>
      </w:tr>
      <w:tr>
        <w:trPr>
          <w:trHeight w:val="237"/>
        </w:trPr>
        <w:tc>
          <w:tcPr>
            <w:tcW w:w="70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441,217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234,639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70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349,767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366,767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777,613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777,613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Trademarks and trade names</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 intangible assets, net</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55,088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56,940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Right of use assets</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343,731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348,090</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10,783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8,129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1,777,529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1,798,086</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2,218,746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2,032,725</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40,782</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 payables and accrued expenses</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98,972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82,829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Unearned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28,002</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56,508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55,870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13,759</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Current operating lease obligations</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60,014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51,937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287,465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273,179</w:t>
            </w:r>
          </w:p>
        </w:tc>
        <w:tc>
          <w:tcPr>
            <w:tcW w:w="0" w:type="dxa"/>
            <w:vAlign w:val="bottom"/>
          </w:tcPr>
          <w:p>
            <w:pPr>
              <w:spacing w:after="0"/>
              <w:rPr>
                <w:sz w:val="1"/>
                <w:szCs w:val="1"/>
                <w:color w:val="auto"/>
              </w:rPr>
            </w:pPr>
          </w:p>
        </w:tc>
      </w:tr>
      <w:tr>
        <w:trPr>
          <w:trHeight w:val="283"/>
        </w:trPr>
        <w:tc>
          <w:tcPr>
            <w:tcW w:w="7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6"/>
              </w:rPr>
              <w:t>Long-term debt and finance lease obligations, less current portion and debt discount</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713,246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555,933</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Non-current operating lease obligations</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331,234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331,769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21,401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21,530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13,731</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Deferred income taxes, net</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58,714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60,146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100,641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95,407</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 (See Note 9)</w:t>
            </w:r>
          </w:p>
        </w:tc>
        <w:tc>
          <w:tcPr>
            <w:tcW w:w="2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280"/>
              <w:spacing w:after="0"/>
              <w:rPr>
                <w:sz w:val="20"/>
                <w:szCs w:val="20"/>
                <w:color w:val="auto"/>
              </w:rPr>
            </w:pPr>
            <w:r>
              <w:rPr>
                <w:rFonts w:ascii="Arial" w:cs="Arial" w:eastAsia="Arial" w:hAnsi="Arial"/>
                <w:sz w:val="18"/>
                <w:szCs w:val="18"/>
                <w:color w:val="auto"/>
                <w:w w:val="89"/>
              </w:rPr>
              <w:t>Common stock, $0.01 par value; 200,000 shares authorized; 81,205 and 80,603 shares issued</w:t>
            </w: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280"/>
              <w:spacing w:after="0"/>
              <w:rPr>
                <w:sz w:val="20"/>
                <w:szCs w:val="20"/>
                <w:color w:val="auto"/>
              </w:rPr>
            </w:pPr>
            <w:r>
              <w:rPr>
                <w:rFonts w:ascii="Arial" w:cs="Arial" w:eastAsia="Arial" w:hAnsi="Arial"/>
                <w:sz w:val="18"/>
                <w:szCs w:val="18"/>
                <w:color w:val="auto"/>
                <w:w w:val="98"/>
              </w:rPr>
              <w:t>as of March 28, 2020 and December 28, 2019, respectively; 80,278 and 79,678 shares</w:t>
            </w: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80"/>
              <w:spacing w:after="0"/>
              <w:rPr>
                <w:sz w:val="20"/>
                <w:szCs w:val="20"/>
                <w:color w:val="auto"/>
              </w:rPr>
            </w:pPr>
            <w:r>
              <w:rPr>
                <w:rFonts w:ascii="Arial" w:cs="Arial" w:eastAsia="Arial" w:hAnsi="Arial"/>
                <w:sz w:val="18"/>
                <w:szCs w:val="18"/>
                <w:color w:val="auto"/>
              </w:rPr>
              <w:t>outstanding as of March 28, 2020 and December 28, 2019, respectively</w:t>
            </w:r>
          </w:p>
        </w:tc>
        <w:tc>
          <w:tcPr>
            <w:tcW w:w="28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707,301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700,121</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(10,416)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107,132</w:t>
            </w:r>
          </w:p>
        </w:tc>
        <w:tc>
          <w:tcPr>
            <w:tcW w:w="0" w:type="dxa"/>
            <w:vAlign w:val="bottom"/>
          </w:tcPr>
          <w:p>
            <w:pPr>
              <w:spacing w:after="0"/>
              <w:rPr>
                <w:sz w:val="1"/>
                <w:szCs w:val="1"/>
                <w:color w:val="auto"/>
              </w:rPr>
            </w:pPr>
          </w:p>
        </w:tc>
      </w:tr>
      <w:tr>
        <w:trPr>
          <w:trHeight w:val="229"/>
        </w:trPr>
        <w:tc>
          <w:tcPr>
            <w:tcW w:w="7080" w:type="dxa"/>
            <w:vAlign w:val="bottom"/>
          </w:tcPr>
          <w:p>
            <w:pPr>
              <w:ind w:left="280"/>
              <w:spacing w:after="0"/>
              <w:rPr>
                <w:sz w:val="20"/>
                <w:szCs w:val="20"/>
                <w:color w:val="auto"/>
              </w:rPr>
            </w:pPr>
            <w:r>
              <w:rPr>
                <w:rFonts w:ascii="Arial" w:cs="Arial" w:eastAsia="Arial" w:hAnsi="Arial"/>
                <w:sz w:val="18"/>
                <w:szCs w:val="18"/>
                <w:color w:val="auto"/>
                <w:w w:val="93"/>
              </w:rPr>
              <w:t>Treasury stock, at cost; 927 and 925 shares as of March 28, 2020 and December 28, 2019,</w:t>
            </w: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8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(27,881)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(27,807)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786,160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776,437</w:t>
            </w:r>
          </w:p>
        </w:tc>
        <w:tc>
          <w:tcPr>
            <w:tcW w:w="0" w:type="dxa"/>
            <w:vAlign w:val="bottom"/>
          </w:tcPr>
          <w:p>
            <w:pPr>
              <w:spacing w:after="0"/>
              <w:rPr>
                <w:sz w:val="1"/>
                <w:szCs w:val="1"/>
                <w:color w:val="auto"/>
              </w:rPr>
            </w:pPr>
          </w:p>
        </w:tc>
      </w:tr>
      <w:tr>
        <w:trPr>
          <w:trHeight w:val="236"/>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2,218,746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2,032,725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337" w:right="33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Three Months Ended March 28, 2020 and March 30, 2019</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 Except Earnings Per Share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4"/>
          </w:tcPr>
          <w:p>
            <w:pPr>
              <w:jc w:val="right"/>
              <w:ind w:right="770"/>
              <w:spacing w:after="0"/>
              <w:rPr>
                <w:sz w:val="20"/>
                <w:szCs w:val="20"/>
                <w:color w:val="auto"/>
              </w:rPr>
            </w:pPr>
            <w:r>
              <w:rPr>
                <w:rFonts w:ascii="Arial" w:cs="Arial" w:eastAsia="Arial" w:hAnsi="Arial"/>
                <w:sz w:val="18"/>
                <w:szCs w:val="18"/>
                <w:color w:val="auto"/>
              </w:rPr>
              <w:t>Three Months Ended</w:t>
            </w:r>
          </w:p>
        </w:tc>
      </w:tr>
      <w:tr>
        <w:trPr>
          <w:trHeight w:val="27"/>
        </w:trPr>
        <w:tc>
          <w:tcPr>
            <w:tcW w:w="7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color w:val="auto"/>
              </w:rPr>
              <w:t>March 28, 2020</w:t>
            </w:r>
          </w:p>
        </w:tc>
        <w:tc>
          <w:tcPr>
            <w:tcW w:w="180" w:type="dxa"/>
            <w:vAlign w:val="bottom"/>
          </w:tcPr>
          <w:p>
            <w:pPr>
              <w:spacing w:after="0"/>
              <w:rPr>
                <w:sz w:val="20"/>
                <w:szCs w:val="20"/>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w w:val="92"/>
              </w:rPr>
              <w:t>March 30, 2019</w:t>
            </w:r>
          </w:p>
        </w:tc>
      </w:tr>
      <w:tr>
        <w:trPr>
          <w:trHeight w:val="27"/>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Net product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392,841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383,160</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sales of services and plans</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78,055</w:t>
            </w:r>
          </w:p>
        </w:tc>
      </w:tr>
      <w:tr>
        <w:trPr>
          <w:trHeight w:val="237"/>
        </w:trPr>
        <w:tc>
          <w:tcPr>
            <w:tcW w:w="7940" w:type="dxa"/>
            <w:vAlign w:val="bottom"/>
          </w:tcPr>
          <w:p>
            <w:pPr>
              <w:ind w:left="380"/>
              <w:spacing w:after="0"/>
              <w:rPr>
                <w:sz w:val="20"/>
                <w:szCs w:val="20"/>
                <w:color w:val="auto"/>
              </w:rPr>
            </w:pPr>
            <w:r>
              <w:rPr>
                <w:rFonts w:ascii="Arial" w:cs="Arial" w:eastAsia="Arial" w:hAnsi="Arial"/>
                <w:sz w:val="18"/>
                <w:szCs w:val="18"/>
                <w:color w:val="auto"/>
              </w:rPr>
              <w:t>Total net revenue</w:t>
            </w: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469,704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461,215</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applicable to revenue (exclusive of 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Products</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156,370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154,004</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 and plans</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57,965</w:t>
            </w:r>
          </w:p>
        </w:tc>
      </w:tr>
      <w:tr>
        <w:trPr>
          <w:trHeight w:val="237"/>
        </w:trPr>
        <w:tc>
          <w:tcPr>
            <w:tcW w:w="7940" w:type="dxa"/>
            <w:vAlign w:val="bottom"/>
          </w:tcPr>
          <w:p>
            <w:pPr>
              <w:ind w:left="380"/>
              <w:spacing w:after="0"/>
              <w:rPr>
                <w:sz w:val="20"/>
                <w:szCs w:val="20"/>
                <w:color w:val="auto"/>
              </w:rPr>
            </w:pPr>
            <w:r>
              <w:rPr>
                <w:rFonts w:ascii="Arial" w:cs="Arial" w:eastAsia="Arial" w:hAnsi="Arial"/>
                <w:sz w:val="18"/>
                <w:szCs w:val="18"/>
                <w:color w:val="auto"/>
              </w:rPr>
              <w:t>Total costs applicable to revenue</w:t>
            </w: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218,554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211,969</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193,741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193,876</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20,415</w:t>
            </w: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Asset impairment</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11,355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2,082</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settlement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Other expense (income), net</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473</w:t>
            </w:r>
          </w:p>
        </w:tc>
      </w:tr>
      <w:tr>
        <w:trPr>
          <w:trHeight w:val="27"/>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3"/>
        </w:trPr>
        <w:tc>
          <w:tcPr>
            <w:tcW w:w="7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234,235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216,846</w:t>
            </w:r>
          </w:p>
        </w:tc>
      </w:tr>
      <w:tr>
        <w:trPr>
          <w:trHeight w:val="237"/>
        </w:trPr>
        <w:tc>
          <w:tcPr>
            <w:tcW w:w="79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32,400</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9,061</w:t>
            </w:r>
          </w:p>
        </w:tc>
      </w:tr>
      <w:tr>
        <w:trPr>
          <w:trHeight w:val="237"/>
        </w:trPr>
        <w:tc>
          <w:tcPr>
            <w:tcW w:w="7940" w:type="dxa"/>
            <w:vAlign w:val="bottom"/>
          </w:tcPr>
          <w:p>
            <w:pPr>
              <w:ind w:left="40"/>
              <w:spacing w:after="0"/>
              <w:rPr>
                <w:sz w:val="20"/>
                <w:szCs w:val="20"/>
                <w:color w:val="auto"/>
              </w:rPr>
            </w:pPr>
            <w:r>
              <w:rPr>
                <w:rFonts w:ascii="Arial" w:cs="Arial" w:eastAsia="Arial" w:hAnsi="Arial"/>
                <w:sz w:val="18"/>
                <w:szCs w:val="18"/>
                <w:color w:val="auto"/>
              </w:rPr>
              <w:t>Earnings before income taxes</w:t>
            </w: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23,339</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5,910</w:t>
            </w:r>
          </w:p>
        </w:tc>
      </w:tr>
      <w:tr>
        <w:trPr>
          <w:trHeight w:val="297"/>
        </w:trPr>
        <w:tc>
          <w:tcPr>
            <w:tcW w:w="7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9,742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17,429</w:t>
            </w:r>
          </w:p>
        </w:tc>
      </w:tr>
      <w:tr>
        <w:trPr>
          <w:trHeight w:val="270"/>
        </w:trPr>
        <w:tc>
          <w:tcPr>
            <w:tcW w:w="7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0.22</w:t>
            </w: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0.21</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80,129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78,205</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81,466</w:t>
            </w:r>
          </w:p>
        </w:tc>
      </w:tr>
      <w:tr>
        <w:trPr>
          <w:trHeight w:val="284"/>
        </w:trPr>
        <w:tc>
          <w:tcPr>
            <w:tcW w:w="7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9,742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17,429</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gain (loss) on hedge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Tax provision (benefit) of unrealized gain (loss) on hedge instruments</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7"/>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16,482</w:t>
            </w:r>
          </w:p>
        </w:tc>
      </w:tr>
      <w:tr>
        <w:trPr>
          <w:trHeight w:val="20"/>
        </w:trPr>
        <w:tc>
          <w:tcPr>
            <w:tcW w:w="7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180"/>
          </w:cols>
          <w:pgMar w:left="320" w:top="337" w:right="3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28, 2020 and March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60" w:type="dxa"/>
            <w:vAlign w:val="bottom"/>
            <w:gridSpan w:val="4"/>
          </w:tcPr>
          <w:p>
            <w:pPr>
              <w:jc w:val="right"/>
              <w:ind w:right="839"/>
              <w:spacing w:after="0"/>
              <w:rPr>
                <w:sz w:val="20"/>
                <w:szCs w:val="20"/>
                <w:color w:val="auto"/>
              </w:rPr>
            </w:pPr>
            <w:r>
              <w:rPr>
                <w:rFonts w:ascii="Arial" w:cs="Arial" w:eastAsia="Arial" w:hAnsi="Arial"/>
                <w:sz w:val="16"/>
                <w:szCs w:val="16"/>
                <w:color w:val="auto"/>
              </w:rPr>
              <w:t>Three Months Ended</w:t>
            </w:r>
          </w:p>
        </w:tc>
      </w:tr>
      <w:tr>
        <w:trPr>
          <w:trHeight w:val="33"/>
        </w:trPr>
        <w:tc>
          <w:tcPr>
            <w:tcW w:w="7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7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color w:val="auto"/>
              </w:rPr>
              <w:t>March 28, 2020</w:t>
            </w:r>
          </w:p>
        </w:tc>
        <w:tc>
          <w:tcPr>
            <w:tcW w:w="200" w:type="dxa"/>
            <w:vAlign w:val="bottom"/>
          </w:tcPr>
          <w:p>
            <w:pPr>
              <w:spacing w:after="0"/>
              <w:rPr>
                <w:sz w:val="20"/>
                <w:szCs w:val="20"/>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color w:val="auto"/>
                <w:w w:val="97"/>
              </w:rPr>
              <w:t>March 30, 2019</w:t>
            </w:r>
          </w:p>
        </w:tc>
      </w:tr>
      <w:tr>
        <w:trPr>
          <w:trHeight w:val="33"/>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9,742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17,429</w:t>
            </w: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24,810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20,415</w:t>
            </w: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loan costs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Asset impairment</w:t>
            </w:r>
          </w:p>
        </w:tc>
        <w:tc>
          <w:tcPr>
            <w:tcW w:w="2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11,355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2,082</w:t>
            </w: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 expense (benefit)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5,910</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Stock based compensation expense</w:t>
            </w:r>
          </w:p>
        </w:tc>
        <w:tc>
          <w:tcPr>
            <w:tcW w:w="2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2,093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2,976</w:t>
            </w: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Inventory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1,319</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Credit loss expense</w:t>
            </w:r>
          </w:p>
        </w:tc>
        <w:tc>
          <w:tcPr>
            <w:tcW w:w="2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2,021</w:t>
            </w: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1,041</w:t>
            </w: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(9,307)</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2,767</w:t>
            </w: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5,791</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19,171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1,445</w:t>
            </w: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4,684</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24,035</w:t>
            </w:r>
          </w:p>
        </w:tc>
      </w:tr>
      <w:tr>
        <w:trPr>
          <w:trHeight w:val="33"/>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86,060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83,014</w:t>
            </w:r>
          </w:p>
        </w:tc>
      </w:tr>
      <w:tr>
        <w:trPr>
          <w:trHeight w:val="230"/>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of 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(25,992)</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186</w:t>
            </w:r>
          </w:p>
        </w:tc>
      </w:tr>
      <w:tr>
        <w:trPr>
          <w:trHeight w:val="33"/>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for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(25,806)</w:t>
            </w:r>
          </w:p>
        </w:tc>
      </w:tr>
      <w:tr>
        <w:trPr>
          <w:trHeight w:val="230"/>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issuance of long-term debt, net of discounts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146,269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2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5,120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513</w:t>
            </w: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Principal payments on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(1,250)</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Purchase of treasury stock</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on finance lease obligations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(617)</w:t>
            </w:r>
          </w:p>
        </w:tc>
      </w:tr>
      <w:tr>
        <w:trPr>
          <w:trHeight w:val="217"/>
        </w:trPr>
        <w:tc>
          <w:tcPr>
            <w:tcW w:w="7980" w:type="dxa"/>
            <w:vAlign w:val="bottom"/>
          </w:tcPr>
          <w:p>
            <w:pPr>
              <w:ind w:left="40"/>
              <w:spacing w:after="0"/>
              <w:rPr>
                <w:sz w:val="20"/>
                <w:szCs w:val="20"/>
                <w:color w:val="auto"/>
              </w:rPr>
            </w:pPr>
            <w:r>
              <w:rPr>
                <w:rFonts w:ascii="Arial" w:cs="Arial" w:eastAsia="Arial" w:hAnsi="Arial"/>
                <w:sz w:val="16"/>
                <w:szCs w:val="16"/>
                <w:color w:val="auto"/>
              </w:rPr>
              <w:t>Net cash provided by (used for) financing activities</w:t>
            </w: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150,601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(1,354)</w:t>
            </w:r>
          </w:p>
        </w:tc>
      </w:tr>
      <w:tr>
        <w:trPr>
          <w:trHeight w:val="33"/>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cash equivalents and restricted cash</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223,807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55,854</w:t>
            </w: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beginning of year</w:t>
            </w:r>
          </w:p>
        </w:tc>
        <w:tc>
          <w:tcPr>
            <w:tcW w:w="2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40,307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17,998</w:t>
            </w:r>
          </w:p>
        </w:tc>
      </w:tr>
      <w:tr>
        <w:trPr>
          <w:trHeight w:val="33"/>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264,114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73,852</w:t>
            </w:r>
          </w:p>
        </w:tc>
      </w:tr>
      <w:tr>
        <w:trPr>
          <w:trHeight w:val="20"/>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09"/>
        </w:trPr>
        <w:tc>
          <w:tcPr>
            <w:tcW w:w="7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cash flow disclosure information:</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Cash paid for interest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7,065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9,857</w:t>
            </w: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 accrued at the end of the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13,980</w:t>
            </w: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Right of use assets acquired under finance leases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1,244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7,270</w:t>
            </w: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Right of use assets acquired under operating leases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17,658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32,981</w:t>
            </w:r>
          </w:p>
        </w:tc>
      </w:tr>
      <w:tr>
        <w:trPr>
          <w:trHeight w:val="33"/>
        </w:trPr>
        <w:tc>
          <w:tcPr>
            <w:tcW w:w="7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44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28, 2020 and March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Adjusted Operating Income to Net Income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900" w:type="dxa"/>
            <w:vAlign w:val="bottom"/>
            <w:gridSpan w:val="4"/>
          </w:tcPr>
          <w:p>
            <w:pPr>
              <w:jc w:val="right"/>
              <w:ind w:right="210"/>
              <w:spacing w:after="0"/>
              <w:rPr>
                <w:sz w:val="20"/>
                <w:szCs w:val="20"/>
                <w:color w:val="auto"/>
              </w:rPr>
            </w:pPr>
            <w:r>
              <w:rPr>
                <w:rFonts w:ascii="Arial" w:cs="Arial" w:eastAsia="Arial" w:hAnsi="Arial"/>
                <w:sz w:val="18"/>
                <w:szCs w:val="18"/>
                <w:color w:val="auto"/>
                <w:w w:val="93"/>
              </w:rPr>
              <w:t>Three Months Ended</w:t>
            </w:r>
          </w:p>
        </w:tc>
        <w:tc>
          <w:tcPr>
            <w:tcW w:w="78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75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1680" w:type="dxa"/>
            <w:vAlign w:val="bottom"/>
            <w:gridSpan w:val="3"/>
          </w:tcPr>
          <w:p>
            <w:pPr>
              <w:ind w:left="120"/>
              <w:spacing w:after="0"/>
              <w:rPr>
                <w:sz w:val="20"/>
                <w:szCs w:val="20"/>
                <w:color w:val="auto"/>
              </w:rPr>
            </w:pPr>
            <w:r>
              <w:rPr>
                <w:rFonts w:ascii="Arial" w:cs="Arial" w:eastAsia="Arial" w:hAnsi="Arial"/>
                <w:sz w:val="18"/>
                <w:szCs w:val="18"/>
                <w:color w:val="auto"/>
              </w:rPr>
              <w:t>March 28, 2020</w:t>
            </w:r>
          </w:p>
        </w:tc>
        <w:tc>
          <w:tcPr>
            <w:tcW w:w="24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March 30, 2019</w:t>
            </w:r>
          </w:p>
        </w:tc>
      </w:tr>
      <w:tr>
        <w:trPr>
          <w:trHeight w:val="27"/>
        </w:trPr>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9,742</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17,429</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3.8%</w:t>
            </w:r>
          </w:p>
        </w:tc>
      </w:tr>
      <w:tr>
        <w:trPr>
          <w:trHeight w:val="243"/>
        </w:trPr>
        <w:tc>
          <w:tcPr>
            <w:tcW w:w="40" w:type="dxa"/>
            <w:vAlign w:val="bottom"/>
          </w:tcPr>
          <w:p>
            <w:pPr>
              <w:spacing w:after="0"/>
              <w:rPr>
                <w:sz w:val="21"/>
                <w:szCs w:val="21"/>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7,455</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9,061</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2.0%</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5,910</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1.3%</w:t>
            </w:r>
          </w:p>
        </w:tc>
      </w:tr>
      <w:tr>
        <w:trPr>
          <w:trHeight w:val="270"/>
        </w:trPr>
        <w:tc>
          <w:tcPr>
            <w:tcW w:w="40" w:type="dxa"/>
            <w:vAlign w:val="bottom"/>
          </w:tcPr>
          <w:p>
            <w:pPr>
              <w:spacing w:after="0"/>
              <w:rPr>
                <w:sz w:val="23"/>
                <w:szCs w:val="23"/>
                <w:color w:val="auto"/>
              </w:rPr>
            </w:pPr>
          </w:p>
        </w:tc>
        <w:tc>
          <w:tcPr>
            <w:tcW w:w="750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2,093</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2,976</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0.6%</w:t>
            </w:r>
          </w:p>
        </w:tc>
      </w:tr>
      <w:tr>
        <w:trPr>
          <w:trHeight w:val="270"/>
        </w:trPr>
        <w:tc>
          <w:tcPr>
            <w:tcW w:w="40" w:type="dxa"/>
            <w:vAlign w:val="bottom"/>
            <w:shd w:val="clear" w:color="auto" w:fill="CCEEFF"/>
          </w:tcPr>
          <w:p>
            <w:pPr>
              <w:spacing w:after="0"/>
              <w:rPr>
                <w:sz w:val="23"/>
                <w:szCs w:val="23"/>
                <w:color w:val="auto"/>
              </w:rPr>
            </w:pPr>
          </w:p>
        </w:tc>
        <w:tc>
          <w:tcPr>
            <w:tcW w:w="750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(b)</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11,355</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2,082</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w:t>
            </w:r>
          </w:p>
        </w:tc>
      </w:tr>
      <w:tr>
        <w:trPr>
          <w:trHeight w:val="270"/>
        </w:trPr>
        <w:tc>
          <w:tcPr>
            <w:tcW w:w="40" w:type="dxa"/>
            <w:vAlign w:val="bottom"/>
          </w:tcPr>
          <w:p>
            <w:pPr>
              <w:spacing w:after="0"/>
              <w:rPr>
                <w:sz w:val="23"/>
                <w:szCs w:val="23"/>
                <w:color w:val="auto"/>
              </w:rPr>
            </w:pPr>
          </w:p>
        </w:tc>
        <w:tc>
          <w:tcPr>
            <w:tcW w:w="750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(c)</w:t>
            </w: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4,395</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40" w:type="dxa"/>
            <w:vAlign w:val="bottom"/>
            <w:shd w:val="clear" w:color="auto" w:fill="CCEEFF"/>
          </w:tcPr>
          <w:p>
            <w:pPr>
              <w:spacing w:after="0"/>
              <w:rPr>
                <w:sz w:val="23"/>
                <w:szCs w:val="23"/>
                <w:color w:val="auto"/>
              </w:rPr>
            </w:pPr>
          </w:p>
        </w:tc>
        <w:tc>
          <w:tcPr>
            <w:tcW w:w="750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5"/>
                <w:szCs w:val="25"/>
                <w:color w:val="auto"/>
                <w:vertAlign w:val="superscript"/>
              </w:rPr>
              <w:t>(d)</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2,155</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w:t>
            </w:r>
          </w:p>
        </w:tc>
      </w:tr>
      <w:tr>
        <w:trPr>
          <w:trHeight w:val="270"/>
        </w:trPr>
        <w:tc>
          <w:tcPr>
            <w:tcW w:w="40" w:type="dxa"/>
            <w:vAlign w:val="bottom"/>
          </w:tcPr>
          <w:p>
            <w:pPr>
              <w:spacing w:after="0"/>
              <w:rPr>
                <w:sz w:val="23"/>
                <w:szCs w:val="23"/>
                <w:color w:val="auto"/>
              </w:rPr>
            </w:pPr>
          </w:p>
        </w:tc>
        <w:tc>
          <w:tcPr>
            <w:tcW w:w="750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(e)</w:t>
            </w: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1,454</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1,192</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0.3%</w:t>
            </w:r>
          </w:p>
        </w:tc>
      </w:tr>
      <w:tr>
        <w:trPr>
          <w:trHeight w:val="270"/>
        </w:trPr>
        <w:tc>
          <w:tcPr>
            <w:tcW w:w="40" w:type="dxa"/>
            <w:vAlign w:val="bottom"/>
            <w:shd w:val="clear" w:color="auto" w:fill="CCEEFF"/>
          </w:tcPr>
          <w:p>
            <w:pPr>
              <w:spacing w:after="0"/>
              <w:rPr>
                <w:sz w:val="23"/>
                <w:szCs w:val="23"/>
                <w:color w:val="auto"/>
              </w:rPr>
            </w:pPr>
          </w:p>
        </w:tc>
        <w:tc>
          <w:tcPr>
            <w:tcW w:w="750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5"/>
                <w:szCs w:val="25"/>
                <w:color w:val="auto"/>
                <w:vertAlign w:val="superscript"/>
              </w:rPr>
              <w:t>(j)</w:t>
            </w: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1,851</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1,851</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w:t>
            </w:r>
          </w:p>
        </w:tc>
      </w:tr>
      <w:tr>
        <w:trPr>
          <w:trHeight w:val="297"/>
        </w:trPr>
        <w:tc>
          <w:tcPr>
            <w:tcW w:w="40" w:type="dxa"/>
            <w:vAlign w:val="bottom"/>
            <w:tcBorders>
              <w:bottom w:val="single" w:sz="8" w:color="CCEEFF"/>
            </w:tcBorders>
          </w:tcPr>
          <w:p>
            <w:pPr>
              <w:spacing w:after="0"/>
              <w:rPr>
                <w:sz w:val="24"/>
                <w:szCs w:val="24"/>
                <w:color w:val="auto"/>
              </w:rPr>
            </w:pPr>
          </w:p>
        </w:tc>
        <w:tc>
          <w:tcPr>
            <w:tcW w:w="75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b w:val="1"/>
                <w:bCs w:val="1"/>
                <w:color w:val="auto"/>
              </w:rPr>
              <w:t>Adjusted Operating Income / Adjusted Operating Margin</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38,063</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8.1%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42,656</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9.2%</w:t>
            </w:r>
          </w:p>
        </w:tc>
      </w:tr>
      <w:tr>
        <w:trPr>
          <w:trHeight w:val="117"/>
        </w:trPr>
        <w:tc>
          <w:tcPr>
            <w:tcW w:w="40" w:type="dxa"/>
            <w:vAlign w:val="bottom"/>
            <w:shd w:val="clear" w:color="auto" w:fill="CCEEFF"/>
          </w:tcPr>
          <w:p>
            <w:pPr>
              <w:spacing w:after="0"/>
              <w:rPr>
                <w:sz w:val="10"/>
                <w:szCs w:val="10"/>
                <w:color w:val="auto"/>
              </w:rPr>
            </w:pPr>
          </w:p>
        </w:tc>
        <w:tc>
          <w:tcPr>
            <w:tcW w:w="7500" w:type="dxa"/>
            <w:vAlign w:val="bottom"/>
            <w:gridSpan w:val="2"/>
            <w:shd w:val="clear" w:color="auto" w:fill="CCEEFF"/>
          </w:tcPr>
          <w:p>
            <w:pPr>
              <w:ind w:left="160"/>
              <w:spacing w:after="0" w:line="117" w:lineRule="exact"/>
              <w:rPr>
                <w:sz w:val="20"/>
                <w:szCs w:val="20"/>
                <w:color w:val="auto"/>
              </w:rPr>
            </w:pPr>
            <w:r>
              <w:rPr>
                <w:rFonts w:ascii="Arial" w:cs="Arial" w:eastAsia="Arial" w:hAnsi="Arial"/>
                <w:sz w:val="13"/>
                <w:szCs w:val="13"/>
                <w:color w:val="auto"/>
              </w:rPr>
              <w:t>Note: Percentages reflect line item as a percentage of net revenue, adjusted for rounding.</w:t>
            </w: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94"/>
        </w:trPr>
        <w:tc>
          <w:tcPr>
            <w:tcW w:w="40" w:type="dxa"/>
            <w:vAlign w:val="bottom"/>
            <w:shd w:val="clear" w:color="auto" w:fill="CCEEFF"/>
          </w:tcPr>
          <w:p>
            <w:pPr>
              <w:spacing w:after="0"/>
              <w:rPr>
                <w:sz w:val="16"/>
                <w:szCs w:val="16"/>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Some of the percentage totals in the table above do not foot due to rounding differences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594"/>
        </w:trPr>
        <w:tc>
          <w:tcPr>
            <w:tcW w:w="40" w:type="dxa"/>
            <w:vAlign w:val="bottom"/>
          </w:tcPr>
          <w:p>
            <w:pPr>
              <w:spacing w:after="0"/>
              <w:rPr>
                <w:sz w:val="24"/>
                <w:szCs w:val="24"/>
                <w:color w:val="auto"/>
              </w:rPr>
            </w:pPr>
          </w:p>
        </w:tc>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EBITDA and Adjusted EBITDA to Net Income</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900" w:type="dxa"/>
            <w:vAlign w:val="bottom"/>
            <w:gridSpan w:val="4"/>
          </w:tcPr>
          <w:p>
            <w:pPr>
              <w:jc w:val="right"/>
              <w:ind w:right="210"/>
              <w:spacing w:after="0"/>
              <w:rPr>
                <w:sz w:val="20"/>
                <w:szCs w:val="20"/>
                <w:color w:val="auto"/>
              </w:rPr>
            </w:pPr>
            <w:r>
              <w:rPr>
                <w:rFonts w:ascii="Arial" w:cs="Arial" w:eastAsia="Arial" w:hAnsi="Arial"/>
                <w:sz w:val="18"/>
                <w:szCs w:val="18"/>
                <w:color w:val="auto"/>
                <w:w w:val="93"/>
              </w:rPr>
              <w:t>Three Months Ended</w:t>
            </w:r>
          </w:p>
        </w:tc>
        <w:tc>
          <w:tcPr>
            <w:tcW w:w="78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75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1680" w:type="dxa"/>
            <w:vAlign w:val="bottom"/>
            <w:gridSpan w:val="3"/>
          </w:tcPr>
          <w:p>
            <w:pPr>
              <w:ind w:left="120"/>
              <w:spacing w:after="0"/>
              <w:rPr>
                <w:sz w:val="20"/>
                <w:szCs w:val="20"/>
                <w:color w:val="auto"/>
              </w:rPr>
            </w:pPr>
            <w:r>
              <w:rPr>
                <w:rFonts w:ascii="Arial" w:cs="Arial" w:eastAsia="Arial" w:hAnsi="Arial"/>
                <w:sz w:val="18"/>
                <w:szCs w:val="18"/>
                <w:color w:val="auto"/>
              </w:rPr>
              <w:t>March 28, 2020</w:t>
            </w:r>
          </w:p>
        </w:tc>
        <w:tc>
          <w:tcPr>
            <w:tcW w:w="24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March 30, 2019</w:t>
            </w:r>
          </w:p>
        </w:tc>
      </w:tr>
      <w:tr>
        <w:trPr>
          <w:trHeight w:val="27"/>
        </w:trPr>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86"/>
                <w:shd w:val="clear" w:color="auto" w:fill="CCEEFF"/>
              </w:rPr>
              <w:t>Net income</w:t>
            </w:r>
          </w:p>
        </w:tc>
        <w:tc>
          <w:tcPr>
            <w:tcW w:w="6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9,742</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17,429</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3.8%</w:t>
            </w:r>
          </w:p>
        </w:tc>
      </w:tr>
      <w:tr>
        <w:trPr>
          <w:trHeight w:val="243"/>
        </w:trPr>
        <w:tc>
          <w:tcPr>
            <w:tcW w:w="40" w:type="dxa"/>
            <w:vAlign w:val="bottom"/>
          </w:tcPr>
          <w:p>
            <w:pPr>
              <w:spacing w:after="0"/>
              <w:rPr>
                <w:sz w:val="21"/>
                <w:szCs w:val="21"/>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7,455</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9,061</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2.0%</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5,910</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1.3%</w:t>
            </w:r>
          </w:p>
        </w:tc>
      </w:tr>
      <w:tr>
        <w:trPr>
          <w:trHeight w:val="243"/>
        </w:trPr>
        <w:tc>
          <w:tcPr>
            <w:tcW w:w="40" w:type="dxa"/>
            <w:vAlign w:val="bottom"/>
          </w:tcPr>
          <w:p>
            <w:pPr>
              <w:spacing w:after="0"/>
              <w:rPr>
                <w:sz w:val="21"/>
                <w:szCs w:val="21"/>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24,810</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20,415</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4.4%</w:t>
            </w:r>
          </w:p>
        </w:tc>
      </w:tr>
      <w:tr>
        <w:trPr>
          <w:trHeight w:val="27"/>
        </w:trPr>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EBITDA</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41,725</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52,815</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11.5%</w:t>
            </w:r>
          </w:p>
        </w:tc>
      </w:tr>
      <w:tr>
        <w:trPr>
          <w:trHeight w:val="324"/>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40" w:type="dxa"/>
            <w:vAlign w:val="bottom"/>
            <w:shd w:val="clear" w:color="auto" w:fill="CCEEFF"/>
          </w:tcPr>
          <w:p>
            <w:pPr>
              <w:spacing w:after="0"/>
              <w:rPr>
                <w:sz w:val="23"/>
                <w:szCs w:val="23"/>
                <w:color w:val="auto"/>
              </w:rPr>
            </w:pPr>
          </w:p>
        </w:tc>
        <w:tc>
          <w:tcPr>
            <w:tcW w:w="750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2,093</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2,976</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0.6%</w:t>
            </w:r>
          </w:p>
        </w:tc>
      </w:tr>
      <w:tr>
        <w:trPr>
          <w:trHeight w:val="270"/>
        </w:trPr>
        <w:tc>
          <w:tcPr>
            <w:tcW w:w="40" w:type="dxa"/>
            <w:vAlign w:val="bottom"/>
          </w:tcPr>
          <w:p>
            <w:pPr>
              <w:spacing w:after="0"/>
              <w:rPr>
                <w:sz w:val="23"/>
                <w:szCs w:val="23"/>
                <w:color w:val="auto"/>
              </w:rPr>
            </w:pPr>
          </w:p>
        </w:tc>
        <w:tc>
          <w:tcPr>
            <w:tcW w:w="750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(b)</w:t>
            </w: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11,355</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2.4%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2,082</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0.5%</w:t>
            </w:r>
          </w:p>
        </w:tc>
      </w:tr>
      <w:tr>
        <w:trPr>
          <w:trHeight w:val="270"/>
        </w:trPr>
        <w:tc>
          <w:tcPr>
            <w:tcW w:w="40" w:type="dxa"/>
            <w:vAlign w:val="bottom"/>
            <w:shd w:val="clear" w:color="auto" w:fill="CCEEFF"/>
          </w:tcPr>
          <w:p>
            <w:pPr>
              <w:spacing w:after="0"/>
              <w:rPr>
                <w:sz w:val="23"/>
                <w:szCs w:val="23"/>
                <w:color w:val="auto"/>
              </w:rPr>
            </w:pPr>
          </w:p>
        </w:tc>
        <w:tc>
          <w:tcPr>
            <w:tcW w:w="750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(c)</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4,395</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40" w:type="dxa"/>
            <w:vAlign w:val="bottom"/>
          </w:tcPr>
          <w:p>
            <w:pPr>
              <w:spacing w:after="0"/>
              <w:rPr>
                <w:sz w:val="23"/>
                <w:szCs w:val="23"/>
                <w:color w:val="auto"/>
              </w:rPr>
            </w:pPr>
          </w:p>
        </w:tc>
        <w:tc>
          <w:tcPr>
            <w:tcW w:w="750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5"/>
                <w:szCs w:val="25"/>
                <w:color w:val="auto"/>
                <w:vertAlign w:val="superscript"/>
              </w:rPr>
              <w:t>(d)</w:t>
            </w: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w:t>
            </w:r>
          </w:p>
        </w:tc>
        <w:tc>
          <w:tcPr>
            <w:tcW w:w="24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2,155</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0.5%</w:t>
            </w:r>
          </w:p>
        </w:tc>
      </w:tr>
      <w:tr>
        <w:trPr>
          <w:trHeight w:val="270"/>
        </w:trPr>
        <w:tc>
          <w:tcPr>
            <w:tcW w:w="40" w:type="dxa"/>
            <w:vAlign w:val="bottom"/>
            <w:shd w:val="clear" w:color="auto" w:fill="CCEEFF"/>
          </w:tcPr>
          <w:p>
            <w:pPr>
              <w:spacing w:after="0"/>
              <w:rPr>
                <w:sz w:val="23"/>
                <w:szCs w:val="23"/>
                <w:color w:val="auto"/>
              </w:rPr>
            </w:pPr>
          </w:p>
        </w:tc>
        <w:tc>
          <w:tcPr>
            <w:tcW w:w="750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(e)</w:t>
            </w: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1,454</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1,192</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0.3%</w:t>
            </w:r>
          </w:p>
        </w:tc>
      </w:tr>
      <w:tr>
        <w:trPr>
          <w:trHeight w:val="297"/>
        </w:trPr>
        <w:tc>
          <w:tcPr>
            <w:tcW w:w="40" w:type="dxa"/>
            <w:vAlign w:val="bottom"/>
            <w:tcBorders>
              <w:bottom w:val="single" w:sz="8" w:color="CCEEFF"/>
            </w:tcBorders>
          </w:tcPr>
          <w:p>
            <w:pPr>
              <w:spacing w:after="0"/>
              <w:rPr>
                <w:sz w:val="24"/>
                <w:szCs w:val="24"/>
                <w:color w:val="auto"/>
              </w:rPr>
            </w:pPr>
          </w:p>
        </w:tc>
        <w:tc>
          <w:tcPr>
            <w:tcW w:w="75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b w:val="1"/>
                <w:bCs w:val="1"/>
                <w:color w:val="auto"/>
              </w:rPr>
              <w:t>Adjusted EBITDA / Adjusted EBITDA Margin</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61,022</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13.0%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61,220</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13.3%</w:t>
            </w:r>
          </w:p>
        </w:tc>
      </w:tr>
      <w:tr>
        <w:trPr>
          <w:trHeight w:val="117"/>
        </w:trPr>
        <w:tc>
          <w:tcPr>
            <w:tcW w:w="40" w:type="dxa"/>
            <w:vAlign w:val="bottom"/>
            <w:shd w:val="clear" w:color="auto" w:fill="CCEEFF"/>
          </w:tcPr>
          <w:p>
            <w:pPr>
              <w:spacing w:after="0"/>
              <w:rPr>
                <w:sz w:val="10"/>
                <w:szCs w:val="10"/>
                <w:color w:val="auto"/>
              </w:rPr>
            </w:pPr>
          </w:p>
        </w:tc>
        <w:tc>
          <w:tcPr>
            <w:tcW w:w="7500" w:type="dxa"/>
            <w:vAlign w:val="bottom"/>
            <w:gridSpan w:val="2"/>
            <w:shd w:val="clear" w:color="auto" w:fill="CCEEFF"/>
          </w:tcPr>
          <w:p>
            <w:pPr>
              <w:ind w:left="160"/>
              <w:spacing w:after="0" w:line="117" w:lineRule="exact"/>
              <w:rPr>
                <w:sz w:val="20"/>
                <w:szCs w:val="20"/>
                <w:color w:val="auto"/>
              </w:rPr>
            </w:pPr>
            <w:r>
              <w:rPr>
                <w:rFonts w:ascii="Arial" w:cs="Arial" w:eastAsia="Arial" w:hAnsi="Arial"/>
                <w:sz w:val="13"/>
                <w:szCs w:val="13"/>
                <w:color w:val="auto"/>
              </w:rPr>
              <w:t>Note: Percentages reflect line item as a percentage of net revenue, adjusted for rounding.</w:t>
            </w: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94"/>
        </w:trPr>
        <w:tc>
          <w:tcPr>
            <w:tcW w:w="40" w:type="dxa"/>
            <w:vAlign w:val="bottom"/>
            <w:shd w:val="clear" w:color="auto" w:fill="CCEEFF"/>
          </w:tcPr>
          <w:p>
            <w:pPr>
              <w:spacing w:after="0"/>
              <w:rPr>
                <w:sz w:val="16"/>
                <w:szCs w:val="16"/>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Some of the percentage totals in the table above do not foot due to rounding differences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bl>
    <w:p>
      <w:pPr>
        <w:sectPr>
          <w:pgSz w:w="11900" w:h="16838" w:orient="portrait"/>
          <w:cols w:equalWidth="0" w:num="1">
            <w:col w:w="11240"/>
          </w:cols>
          <w:pgMar w:left="320" w:top="337"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ind w:left="40"/>
              <w:spacing w:after="0"/>
              <w:rPr>
                <w:sz w:val="20"/>
                <w:szCs w:val="20"/>
                <w:color w:val="auto"/>
              </w:rPr>
            </w:pPr>
            <w:r>
              <w:rPr>
                <w:rFonts w:ascii="Arial" w:cs="Arial" w:eastAsia="Arial" w:hAnsi="Arial"/>
                <w:sz w:val="18"/>
                <w:szCs w:val="18"/>
                <w:b w:val="1"/>
                <w:bCs w:val="1"/>
                <w:color w:val="auto"/>
              </w:rPr>
              <w:t>Reconciliation of Adjusted Diluted EPS to Diluted EPS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900" w:type="dxa"/>
            <w:vAlign w:val="bottom"/>
            <w:gridSpan w:val="5"/>
          </w:tcPr>
          <w:p>
            <w:pPr>
              <w:jc w:val="center"/>
              <w:spacing w:after="0"/>
              <w:rPr>
                <w:sz w:val="20"/>
                <w:szCs w:val="20"/>
                <w:color w:val="auto"/>
              </w:rPr>
            </w:pPr>
            <w:r>
              <w:rPr>
                <w:rFonts w:ascii="Arial" w:cs="Arial" w:eastAsia="Arial" w:hAnsi="Arial"/>
                <w:sz w:val="18"/>
                <w:szCs w:val="18"/>
                <w:color w:val="auto"/>
                <w:w w:val="90"/>
              </w:rPr>
              <w:t>Three Months Ended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per share amounts</w:t>
            </w:r>
          </w:p>
        </w:tc>
        <w:tc>
          <w:tcPr>
            <w:tcW w:w="220" w:type="dxa"/>
            <w:vAlign w:val="bottom"/>
          </w:tcPr>
          <w:p>
            <w:pPr>
              <w:spacing w:after="0"/>
              <w:rPr>
                <w:sz w:val="20"/>
                <w:szCs w:val="20"/>
                <w:color w:val="auto"/>
              </w:rPr>
            </w:pP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March 28, 2020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w w:val="97"/>
              </w:rPr>
              <w:t>March 30, 2019</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70"/>
        </w:trPr>
        <w:tc>
          <w:tcPr>
            <w:tcW w:w="75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(b)</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0"/>
        </w:trPr>
        <w:tc>
          <w:tcPr>
            <w:tcW w:w="75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(c)</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5"/>
                <w:szCs w:val="25"/>
                <w:color w:val="auto"/>
                <w:vertAlign w:val="superscript"/>
              </w:rPr>
              <w:t>(d)</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0"/>
        </w:trPr>
        <w:tc>
          <w:tcPr>
            <w:tcW w:w="75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(e)</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Amortization of acquisition intangibles and deferred financing costs </w:t>
            </w:r>
            <w:r>
              <w:rPr>
                <w:rFonts w:ascii="Arial" w:cs="Arial" w:eastAsia="Arial" w:hAnsi="Arial"/>
                <w:sz w:val="25"/>
                <w:szCs w:val="25"/>
                <w:color w:val="auto"/>
                <w:vertAlign w:val="superscript"/>
              </w:rPr>
              <w:t>(f)</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0"/>
        </w:trPr>
        <w:tc>
          <w:tcPr>
            <w:tcW w:w="75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Tax benefit of stock option exercises </w:t>
            </w:r>
            <w:r>
              <w:rPr>
                <w:rFonts w:ascii="Arial" w:cs="Arial" w:eastAsia="Arial" w:hAnsi="Arial"/>
                <w:sz w:val="25"/>
                <w:szCs w:val="25"/>
                <w:color w:val="auto"/>
                <w:vertAlign w:val="superscript"/>
              </w:rPr>
              <w:t>(g)</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5"/>
                <w:szCs w:val="25"/>
                <w:color w:val="auto"/>
                <w:vertAlign w:val="superscript"/>
              </w:rPr>
              <w:t>(h)</w:t>
            </w:r>
          </w:p>
        </w:tc>
        <w:tc>
          <w:tcPr>
            <w:tcW w:w="22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57"/>
        </w:trPr>
        <w:tc>
          <w:tcPr>
            <w:tcW w:w="7540" w:type="dxa"/>
            <w:vAlign w:val="bottom"/>
          </w:tcPr>
          <w:p>
            <w:pPr>
              <w:ind w:left="180"/>
              <w:spacing w:after="0"/>
              <w:rPr>
                <w:sz w:val="20"/>
                <w:szCs w:val="20"/>
                <w:color w:val="auto"/>
              </w:rPr>
            </w:pPr>
            <w:r>
              <w:rPr>
                <w:rFonts w:ascii="Arial" w:cs="Arial" w:eastAsia="Arial" w:hAnsi="Arial"/>
                <w:sz w:val="18"/>
                <w:szCs w:val="18"/>
                <w:b w:val="1"/>
                <w:bCs w:val="1"/>
                <w:color w:val="auto"/>
              </w:rPr>
              <w:t>Adjusted Diluted EPS</w:t>
            </w:r>
          </w:p>
        </w:tc>
        <w:tc>
          <w:tcPr>
            <w:tcW w:w="220" w:type="dxa"/>
            <w:vAlign w:val="bottom"/>
          </w:tcPr>
          <w:p>
            <w:pPr>
              <w:spacing w:after="0"/>
              <w:rPr>
                <w:sz w:val="22"/>
                <w:szCs w:val="22"/>
                <w:color w:val="auto"/>
              </w:rPr>
            </w:pP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diluted shares outstanding</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82,242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81,466</w:t>
            </w:r>
          </w:p>
        </w:tc>
        <w:tc>
          <w:tcPr>
            <w:tcW w:w="0" w:type="dxa"/>
            <w:vAlign w:val="bottom"/>
          </w:tcPr>
          <w:p>
            <w:pPr>
              <w:spacing w:after="0"/>
              <w:rPr>
                <w:sz w:val="1"/>
                <w:szCs w:val="1"/>
                <w:color w:val="auto"/>
              </w:rPr>
            </w:pPr>
          </w:p>
        </w:tc>
      </w:tr>
      <w:tr>
        <w:trPr>
          <w:trHeight w:val="170"/>
        </w:trPr>
        <w:tc>
          <w:tcPr>
            <w:tcW w:w="7540" w:type="dxa"/>
            <w:vAlign w:val="bottom"/>
          </w:tcPr>
          <w:p>
            <w:pPr>
              <w:ind w:left="120"/>
              <w:spacing w:after="0"/>
              <w:rPr>
                <w:sz w:val="20"/>
                <w:szCs w:val="20"/>
                <w:color w:val="auto"/>
              </w:rPr>
            </w:pPr>
            <w:r>
              <w:rPr>
                <w:rFonts w:ascii="Arial" w:cs="Arial" w:eastAsia="Arial" w:hAnsi="Arial"/>
                <w:sz w:val="14"/>
                <w:szCs w:val="14"/>
                <w:color w:val="auto"/>
              </w:rPr>
              <w:t>Note: Some of the totals in the table above do not foot due to rounding differences</w:t>
            </w:r>
          </w:p>
        </w:tc>
        <w:tc>
          <w:tcPr>
            <w:tcW w:w="2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6"/>
        </w:trPr>
        <w:tc>
          <w:tcPr>
            <w:tcW w:w="7540" w:type="dxa"/>
            <w:vAlign w:val="bottom"/>
          </w:tcPr>
          <w:p>
            <w:pPr>
              <w:ind w:left="40"/>
              <w:spacing w:after="0"/>
              <w:rPr>
                <w:sz w:val="20"/>
                <w:szCs w:val="20"/>
                <w:color w:val="auto"/>
              </w:rPr>
            </w:pPr>
            <w:r>
              <w:rPr>
                <w:rFonts w:ascii="Arial" w:cs="Arial" w:eastAsia="Arial" w:hAnsi="Arial"/>
                <w:sz w:val="18"/>
                <w:szCs w:val="18"/>
                <w:b w:val="1"/>
                <w:bCs w:val="1"/>
                <w:color w:val="auto"/>
              </w:rPr>
              <w:t>Reconciliation of Adjusted SG&amp;A and Adjusted SG&amp;A Percent of Net Revenue to SG&amp;A</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900" w:type="dxa"/>
            <w:vAlign w:val="bottom"/>
            <w:gridSpan w:val="5"/>
          </w:tcPr>
          <w:p>
            <w:pPr>
              <w:jc w:val="right"/>
              <w:ind w:right="210"/>
              <w:spacing w:after="0"/>
              <w:rPr>
                <w:sz w:val="20"/>
                <w:szCs w:val="20"/>
                <w:color w:val="auto"/>
              </w:rPr>
            </w:pPr>
            <w:r>
              <w:rPr>
                <w:rFonts w:ascii="Arial" w:cs="Arial" w:eastAsia="Arial" w:hAnsi="Arial"/>
                <w:sz w:val="18"/>
                <w:szCs w:val="18"/>
                <w:color w:val="auto"/>
                <w:w w:val="93"/>
              </w:rPr>
              <w:t>Three Months Ended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1680" w:type="dxa"/>
            <w:vAlign w:val="bottom"/>
            <w:gridSpan w:val="3"/>
          </w:tcPr>
          <w:p>
            <w:pPr>
              <w:jc w:val="right"/>
              <w:ind w:right="420"/>
              <w:spacing w:after="0"/>
              <w:rPr>
                <w:sz w:val="20"/>
                <w:szCs w:val="20"/>
                <w:color w:val="auto"/>
              </w:rPr>
            </w:pPr>
            <w:r>
              <w:rPr>
                <w:rFonts w:ascii="Arial" w:cs="Arial" w:eastAsia="Arial" w:hAnsi="Arial"/>
                <w:sz w:val="18"/>
                <w:szCs w:val="18"/>
                <w:color w:val="auto"/>
                <w:w w:val="99"/>
              </w:rPr>
              <w:t>March 28, 2020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230"/>
              <w:spacing w:after="0"/>
              <w:rPr>
                <w:sz w:val="20"/>
                <w:szCs w:val="20"/>
                <w:color w:val="auto"/>
              </w:rPr>
            </w:pPr>
            <w:r>
              <w:rPr>
                <w:rFonts w:ascii="Arial" w:cs="Arial" w:eastAsia="Arial" w:hAnsi="Arial"/>
                <w:sz w:val="18"/>
                <w:szCs w:val="18"/>
                <w:color w:val="auto"/>
                <w:w w:val="94"/>
              </w:rPr>
              <w:t>March 30, 2019</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SG&amp;A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193,741</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193,876</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42.0%</w:t>
            </w:r>
          </w:p>
        </w:tc>
        <w:tc>
          <w:tcPr>
            <w:tcW w:w="0" w:type="dxa"/>
            <w:vAlign w:val="bottom"/>
          </w:tcPr>
          <w:p>
            <w:pPr>
              <w:spacing w:after="0"/>
              <w:rPr>
                <w:sz w:val="1"/>
                <w:szCs w:val="1"/>
                <w:color w:val="auto"/>
              </w:rPr>
            </w:pPr>
          </w:p>
        </w:tc>
      </w:tr>
      <w:tr>
        <w:trPr>
          <w:trHeight w:val="270"/>
        </w:trPr>
        <w:tc>
          <w:tcPr>
            <w:tcW w:w="75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2,093</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2,976</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0.6%</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5"/>
                <w:szCs w:val="25"/>
                <w:color w:val="auto"/>
                <w:vertAlign w:val="superscript"/>
              </w:rPr>
              <w:t>(d)</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2,155</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w:t>
            </w:r>
          </w:p>
        </w:tc>
        <w:tc>
          <w:tcPr>
            <w:tcW w:w="0" w:type="dxa"/>
            <w:vAlign w:val="bottom"/>
          </w:tcPr>
          <w:p>
            <w:pPr>
              <w:spacing w:after="0"/>
              <w:rPr>
                <w:sz w:val="1"/>
                <w:szCs w:val="1"/>
                <w:color w:val="auto"/>
              </w:rPr>
            </w:pPr>
          </w:p>
        </w:tc>
      </w:tr>
      <w:tr>
        <w:trPr>
          <w:trHeight w:val="270"/>
        </w:trPr>
        <w:tc>
          <w:tcPr>
            <w:tcW w:w="75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(i)</w:t>
            </w: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1,454</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0.3%</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631</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0.1%</w:t>
            </w:r>
          </w:p>
        </w:tc>
        <w:tc>
          <w:tcPr>
            <w:tcW w:w="0" w:type="dxa"/>
            <w:vAlign w:val="bottom"/>
          </w:tcPr>
          <w:p>
            <w:pPr>
              <w:spacing w:after="0"/>
              <w:rPr>
                <w:sz w:val="1"/>
                <w:szCs w:val="1"/>
                <w:color w:val="auto"/>
              </w:rPr>
            </w:pPr>
          </w:p>
        </w:tc>
      </w:tr>
      <w:tr>
        <w:trPr>
          <w:trHeight w:val="257"/>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Adjusted SG&amp;A/ Adjusted SG&amp;A Percent of Net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190,194</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188,114</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40.8%</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200"/>
              <w:spacing w:after="0"/>
              <w:rPr>
                <w:sz w:val="20"/>
                <w:szCs w:val="20"/>
                <w:color w:val="auto"/>
              </w:rPr>
            </w:pPr>
            <w:r>
              <w:rPr>
                <w:rFonts w:ascii="Arial" w:cs="Arial" w:eastAsia="Arial" w:hAnsi="Arial"/>
                <w:sz w:val="14"/>
                <w:szCs w:val="14"/>
                <w:color w:val="auto"/>
              </w:rPr>
              <w:t>Note: Percentages reflect line item as a percentage of net revenue</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Non-cash charges related to stock-based compensation programs, which vary from period to period depending on the timing of awards and performance vesting conditions.</w:t>
      </w:r>
    </w:p>
    <w:p>
      <w:pPr>
        <w:spacing w:after="0" w:line="24" w:lineRule="exact"/>
        <w:rPr>
          <w:rFonts w:ascii="Arial" w:cs="Arial" w:eastAsia="Arial" w:hAnsi="Arial"/>
          <w:sz w:val="13"/>
          <w:szCs w:val="13"/>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Reflects write-off of property, equipment and lease related assets on closed or underperforming stores.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Expenses associated with settlement of litigation. See Note 9. “Commitments and Contingencies” in our consolidated financial statements for further details.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Expenses related to a non-recurring realignment of management described in the Current Report on Form 8-K filed with the SEC on January 10, 2019.</w:t>
      </w:r>
    </w:p>
    <w:p>
      <w:pPr>
        <w:spacing w:after="0" w:line="1" w:lineRule="exact"/>
        <w:rPr>
          <w:rFonts w:ascii="Arial" w:cs="Arial" w:eastAsia="Arial" w:hAnsi="Arial"/>
          <w:sz w:val="14"/>
          <w:szCs w:val="14"/>
          <w:color w:val="auto"/>
        </w:rPr>
      </w:pPr>
    </w:p>
    <w:p>
      <w:pPr>
        <w:jc w:val="both"/>
        <w:ind w:left="660" w:hanging="328"/>
        <w:spacing w:after="0" w:line="260" w:lineRule="auto"/>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Other adjustments include amounts that management believes are not representative of our operating performance (amounts in brackets represent reductions in Adjusted Operating Income, Adjusted Diluted EPS and Adjusted EBITDA), including our share of losses on equity method investments of $0.6 million for the three months ended March 30, 2019; the amortization impact of adjustments related to the March 2014 acquisition of the Company by affiliates of KKR &amp; Co. Inc. (the “KKR Acquisition”), (e.g., fair value of leasehold interests) of $0.1 million for each of the three months ended March 28, 2020 and March 30, 2019, respectively; costs of severance and relocation of $0.3 million and $0.2 million for the three months ended March 28, 2020 and March 30, 2019, respectively; excess payroll taxes related to stock option exercises of $0.3 million for the three months ended March 28, 2020; $0.6 million of incremental costs directly related to adapting the Company’s operations during the COVID-19 pandemic for the three months ended March 28, 2020; and other expenses and adjustments totaling $0.2 million and $0.3 million for the three months ended March 28, 2020 and March 30, 2019, respectively.</w:t>
      </w:r>
    </w:p>
    <w:p>
      <w:pPr>
        <w:jc w:val="both"/>
        <w:ind w:left="660" w:right="20" w:hanging="328"/>
        <w:spacing w:after="0" w:line="260" w:lineRule="auto"/>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Amortization of the increase in carrying values of finite-lived intangible assets resulting from the application of purchase accounting to the KKR Acquisition of $1.9 million for each of the three months ended March 28, 2020 and March 30, 2019. Amortization of deferred financing costs is associated with deferred financing fees and amortization of debt discounts related to term loan and revolving credit facility borrowings totaling $0.2 million and $0.4 million for the three months ended March 28, 2020 and March 30, 2019, respectively.</w:t>
      </w: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Tax benefit associated with accounting guidance, requiring excess tax benefits to be recorded in earnings as discrete items in the reporting period in which they occur.</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Reflects other expenses in (e) above, except for our share of losses on equity method investments of $0.6 million for the three months ended March 30, 2019.</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finite-lived intangible assets resulting of purchase accounting to the KKR Acquisition.</w:t>
      </w:r>
    </w:p>
    <w:p>
      <w:pPr>
        <w:sectPr>
          <w:pgSz w:w="11900" w:h="16838" w:orient="portrait"/>
          <w:cols w:equalWidth="0" w:num="1">
            <w:col w:w="11240"/>
          </w:cols>
          <w:pgMar w:left="320" w:top="499" w:right="339" w:bottom="1440" w:gutter="0" w:footer="0" w:header="0"/>
        </w:sectPr>
      </w:pPr>
    </w:p>
    <w:bookmarkStart w:id="14" w:name="page15"/>
    <w:bookmarkEnd w:id="14"/>
    <w:p>
      <w:pPr>
        <w:ind w:left="880"/>
        <w:spacing w:after="0"/>
        <w:rPr>
          <w:sz w:val="20"/>
          <w:szCs w:val="20"/>
          <w:color w:val="auto"/>
        </w:rPr>
      </w:pPr>
      <w:r>
        <w:rPr>
          <w:rFonts w:ascii="Arial" w:cs="Arial" w:eastAsia="Arial" w:hAnsi="Arial"/>
          <w:sz w:val="18"/>
          <w:szCs w:val="18"/>
          <w:b w:val="1"/>
          <w:bCs w:val="1"/>
          <w:color w:val="auto"/>
        </w:rPr>
        <w:t>Reconciliation of Adjusted Comparable Store Sales Growth to Total Comparable Store Sales Growth</w:t>
      </w:r>
    </w:p>
    <w:p>
      <w:pPr>
        <w:spacing w:after="0" w:line="37" w:lineRule="exact"/>
        <w:rPr>
          <w:sz w:val="20"/>
          <w:szCs w:val="20"/>
          <w:color w:val="auto"/>
        </w:rPr>
      </w:pPr>
    </w:p>
    <w:tbl>
      <w:tblPr>
        <w:tblLayout w:type="fixed"/>
        <w:tblInd w:w="840" w:type="dxa"/>
        <w:tblCellMar>
          <w:top w:w="0" w:type="dxa"/>
          <w:left w:w="0" w:type="dxa"/>
          <w:bottom w:w="0" w:type="dxa"/>
          <w:right w:w="0" w:type="dxa"/>
        </w:tblCellMar>
      </w:tblPr>
      <w:tr>
        <w:trPr>
          <w:trHeight w:val="287"/>
        </w:trPr>
        <w:tc>
          <w:tcPr>
            <w:tcW w:w="5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9"/>
          </w:tcPr>
          <w:p>
            <w:pPr>
              <w:jc w:val="right"/>
              <w:ind w:right="960"/>
              <w:spacing w:after="0"/>
              <w:rPr>
                <w:sz w:val="20"/>
                <w:szCs w:val="20"/>
                <w:color w:val="auto"/>
              </w:rPr>
            </w:pPr>
            <w:r>
              <w:rPr>
                <w:rFonts w:ascii="Arial" w:cs="Arial" w:eastAsia="Arial" w:hAnsi="Arial"/>
                <w:sz w:val="18"/>
                <w:szCs w:val="18"/>
                <w:color w:val="auto"/>
              </w:rPr>
              <w:t>Comparable store sales growth</w:t>
            </w:r>
            <w:r>
              <w:rPr>
                <w:rFonts w:ascii="Arial" w:cs="Arial" w:eastAsia="Arial" w:hAnsi="Arial"/>
                <w:sz w:val="25"/>
                <w:szCs w:val="25"/>
                <w:color w:val="auto"/>
                <w:vertAlign w:val="superscript"/>
              </w:rPr>
              <w:t>(a)</w:t>
            </w:r>
          </w:p>
        </w:tc>
      </w:tr>
      <w:tr>
        <w:trPr>
          <w:trHeight w:val="222"/>
        </w:trPr>
        <w:tc>
          <w:tcPr>
            <w:tcW w:w="5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6"/>
          </w:tcPr>
          <w:p>
            <w:pPr>
              <w:jc w:val="center"/>
              <w:ind w:right="120"/>
              <w:spacing w:after="0"/>
              <w:rPr>
                <w:sz w:val="20"/>
                <w:szCs w:val="20"/>
                <w:color w:val="auto"/>
              </w:rPr>
            </w:pPr>
            <w:r>
              <w:rPr>
                <w:rFonts w:ascii="Arial" w:cs="Arial" w:eastAsia="Arial" w:hAnsi="Arial"/>
                <w:sz w:val="18"/>
                <w:szCs w:val="18"/>
                <w:color w:val="auto"/>
                <w:w w:val="90"/>
              </w:rPr>
              <w:t>Three Months Ended</w:t>
            </w:r>
          </w:p>
        </w:tc>
        <w:tc>
          <w:tcPr>
            <w:tcW w:w="2100" w:type="dxa"/>
            <w:vAlign w:val="bottom"/>
            <w:gridSpan w:val="5"/>
          </w:tcPr>
          <w:p>
            <w:pPr>
              <w:jc w:val="center"/>
              <w:spacing w:after="0"/>
              <w:rPr>
                <w:sz w:val="20"/>
                <w:szCs w:val="20"/>
                <w:color w:val="auto"/>
              </w:rPr>
            </w:pPr>
            <w:r>
              <w:rPr>
                <w:rFonts w:ascii="Arial" w:cs="Arial" w:eastAsia="Arial" w:hAnsi="Arial"/>
                <w:sz w:val="18"/>
                <w:szCs w:val="18"/>
                <w:color w:val="auto"/>
                <w:w w:val="89"/>
              </w:rPr>
              <w:t>Three Months Ended</w:t>
            </w:r>
          </w:p>
        </w:tc>
      </w:tr>
      <w:tr>
        <w:trPr>
          <w:trHeight w:val="230"/>
        </w:trPr>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4"/>
          </w:tcPr>
          <w:p>
            <w:pPr>
              <w:jc w:val="center"/>
              <w:ind w:right="560"/>
              <w:spacing w:after="0"/>
              <w:rPr>
                <w:sz w:val="20"/>
                <w:szCs w:val="20"/>
                <w:color w:val="auto"/>
              </w:rPr>
            </w:pPr>
            <w:r>
              <w:rPr>
                <w:rFonts w:ascii="Arial" w:cs="Arial" w:eastAsia="Arial" w:hAnsi="Arial"/>
                <w:sz w:val="18"/>
                <w:szCs w:val="18"/>
                <w:color w:val="auto"/>
                <w:w w:val="91"/>
              </w:rPr>
              <w:t>March 28, 2020</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40" w:type="dxa"/>
            <w:vAlign w:val="bottom"/>
            <w:gridSpan w:val="3"/>
          </w:tcPr>
          <w:p>
            <w:pPr>
              <w:jc w:val="center"/>
              <w:ind w:right="360"/>
              <w:spacing w:after="0"/>
              <w:rPr>
                <w:sz w:val="20"/>
                <w:szCs w:val="20"/>
                <w:color w:val="auto"/>
              </w:rPr>
            </w:pPr>
            <w:r>
              <w:rPr>
                <w:rFonts w:ascii="Arial" w:cs="Arial" w:eastAsia="Arial" w:hAnsi="Arial"/>
                <w:sz w:val="18"/>
                <w:szCs w:val="18"/>
                <w:color w:val="auto"/>
                <w:w w:val="91"/>
              </w:rPr>
              <w:t>March 30, 2019</w:t>
            </w:r>
          </w:p>
        </w:tc>
      </w:tr>
      <w:tr>
        <w:trPr>
          <w:trHeight w:val="27"/>
        </w:trPr>
        <w:tc>
          <w:tcPr>
            <w:tcW w:w="5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43"/>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Owned &amp; Host segment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America’s Best</w:t>
            </w:r>
          </w:p>
        </w:tc>
        <w:tc>
          <w:tcPr>
            <w:tcW w:w="2080" w:type="dxa"/>
            <w:vAlign w:val="bottom"/>
            <w:gridSpan w:val="5"/>
          </w:tcPr>
          <w:p>
            <w:pPr>
              <w:jc w:val="right"/>
              <w:ind w:right="2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2100" w:type="dxa"/>
            <w:vAlign w:val="bottom"/>
            <w:gridSpan w:val="5"/>
          </w:tcPr>
          <w:p>
            <w:pPr>
              <w:jc w:val="right"/>
              <w:ind w:right="40"/>
              <w:spacing w:after="0"/>
              <w:rPr>
                <w:sz w:val="20"/>
                <w:szCs w:val="20"/>
                <w:color w:val="auto"/>
              </w:rPr>
            </w:pPr>
            <w:r>
              <w:rPr>
                <w:rFonts w:ascii="Arial" w:cs="Arial" w:eastAsia="Arial" w:hAnsi="Arial"/>
                <w:sz w:val="18"/>
                <w:szCs w:val="18"/>
                <w:color w:val="auto"/>
              </w:rPr>
              <w:t>8.2 %</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Eyeglass World</w:t>
            </w:r>
          </w:p>
        </w:tc>
        <w:tc>
          <w:tcPr>
            <w:tcW w:w="208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6.5 %</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Military</w:t>
            </w:r>
          </w:p>
        </w:tc>
        <w:tc>
          <w:tcPr>
            <w:tcW w:w="2080" w:type="dxa"/>
            <w:vAlign w:val="bottom"/>
            <w:gridSpan w:val="5"/>
          </w:tcPr>
          <w:p>
            <w:pPr>
              <w:jc w:val="right"/>
              <w:ind w:right="2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2100" w:type="dxa"/>
            <w:vAlign w:val="bottom"/>
            <w:gridSpan w:val="5"/>
          </w:tcPr>
          <w:p>
            <w:pPr>
              <w:jc w:val="right"/>
              <w:ind w:right="40"/>
              <w:spacing w:after="0"/>
              <w:rPr>
                <w:sz w:val="20"/>
                <w:szCs w:val="20"/>
                <w:color w:val="auto"/>
              </w:rPr>
            </w:pPr>
            <w:r>
              <w:rPr>
                <w:rFonts w:ascii="Arial" w:cs="Arial" w:eastAsia="Arial" w:hAnsi="Arial"/>
                <w:sz w:val="18"/>
                <w:szCs w:val="18"/>
                <w:color w:val="auto"/>
              </w:rPr>
              <w:t>(4.4)%</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Fred Meyer</w:t>
            </w:r>
          </w:p>
        </w:tc>
        <w:tc>
          <w:tcPr>
            <w:tcW w:w="208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b w:val="1"/>
                <w:bCs w:val="1"/>
                <w:color w:val="auto"/>
              </w:rPr>
              <w:t>Legacy segment</w:t>
            </w:r>
          </w:p>
        </w:tc>
        <w:tc>
          <w:tcPr>
            <w:tcW w:w="2080" w:type="dxa"/>
            <w:vAlign w:val="bottom"/>
            <w:gridSpan w:val="5"/>
          </w:tcPr>
          <w:p>
            <w:pPr>
              <w:jc w:val="right"/>
              <w:ind w:right="2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2100" w:type="dxa"/>
            <w:vAlign w:val="bottom"/>
            <w:gridSpan w:val="5"/>
          </w:tcPr>
          <w:p>
            <w:pPr>
              <w:jc w:val="right"/>
              <w:ind w:right="40"/>
              <w:spacing w:after="0"/>
              <w:rPr>
                <w:sz w:val="20"/>
                <w:szCs w:val="20"/>
                <w:color w:val="auto"/>
              </w:rPr>
            </w:pPr>
            <w:r>
              <w:rPr>
                <w:rFonts w:ascii="Arial" w:cs="Arial" w:eastAsia="Arial" w:hAnsi="Arial"/>
                <w:sz w:val="18"/>
                <w:szCs w:val="18"/>
                <w:color w:val="auto"/>
              </w:rPr>
              <w:t>1.8 %</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324"/>
        </w:trPr>
        <w:tc>
          <w:tcPr>
            <w:tcW w:w="5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Total comparable store sales growth</w:t>
            </w:r>
          </w:p>
        </w:tc>
        <w:tc>
          <w:tcPr>
            <w:tcW w:w="2080" w:type="dxa"/>
            <w:vAlign w:val="bottom"/>
            <w:gridSpan w:val="5"/>
          </w:tcPr>
          <w:p>
            <w:pPr>
              <w:jc w:val="right"/>
              <w:ind w:right="2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100" w:type="dxa"/>
            <w:vAlign w:val="bottom"/>
            <w:gridSpan w:val="5"/>
          </w:tcPr>
          <w:p>
            <w:pPr>
              <w:jc w:val="right"/>
              <w:ind w:right="40"/>
              <w:spacing w:after="0"/>
              <w:rPr>
                <w:sz w:val="20"/>
                <w:szCs w:val="20"/>
                <w:color w:val="auto"/>
              </w:rPr>
            </w:pPr>
            <w:r>
              <w:rPr>
                <w:rFonts w:ascii="Arial" w:cs="Arial" w:eastAsia="Arial" w:hAnsi="Arial"/>
                <w:sz w:val="18"/>
                <w:szCs w:val="18"/>
                <w:color w:val="auto"/>
              </w:rPr>
              <w:t>6.2 %</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70"/>
        </w:trPr>
        <w:tc>
          <w:tcPr>
            <w:tcW w:w="52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Adjusted Comparable Store Sales Growth</w:t>
            </w:r>
            <w:r>
              <w:rPr>
                <w:rFonts w:ascii="Arial" w:cs="Arial" w:eastAsia="Arial" w:hAnsi="Arial"/>
                <w:sz w:val="25"/>
                <w:szCs w:val="25"/>
                <w:color w:val="auto"/>
                <w:vertAlign w:val="superscript"/>
              </w:rPr>
              <w:t>(b)</w:t>
            </w:r>
          </w:p>
        </w:tc>
        <w:tc>
          <w:tcPr>
            <w:tcW w:w="2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23"/>
                <w:szCs w:val="23"/>
                <w:color w:val="auto"/>
              </w:rPr>
            </w:pPr>
          </w:p>
        </w:tc>
        <w:tc>
          <w:tcPr>
            <w:tcW w:w="21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6.7 %</w:t>
            </w:r>
          </w:p>
        </w:tc>
      </w:tr>
      <w:tr>
        <w:trPr>
          <w:trHeight w:val="324"/>
        </w:trPr>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2"/>
        </w:trPr>
        <w:tc>
          <w:tcPr>
            <w:tcW w:w="52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b w:val="1"/>
                <w:bCs w:val="1"/>
                <w:i w:val="1"/>
                <w:iCs w:val="1"/>
                <w:color w:val="auto"/>
              </w:rPr>
              <w:t>Additional Comparable Store Sales</w:t>
            </w:r>
          </w:p>
        </w:tc>
        <w:tc>
          <w:tcPr>
            <w:tcW w:w="2200" w:type="dxa"/>
            <w:vAlign w:val="bottom"/>
            <w:gridSpan w:val="6"/>
            <w:shd w:val="clear" w:color="auto" w:fill="CCEEFF"/>
          </w:tcPr>
          <w:p>
            <w:pPr>
              <w:jc w:val="center"/>
              <w:ind w:right="140"/>
              <w:spacing w:after="0" w:line="202" w:lineRule="exact"/>
              <w:rPr>
                <w:sz w:val="20"/>
                <w:szCs w:val="20"/>
                <w:color w:val="auto"/>
              </w:rPr>
            </w:pPr>
            <w:r>
              <w:rPr>
                <w:rFonts w:ascii="Arial" w:cs="Arial" w:eastAsia="Arial" w:hAnsi="Arial"/>
                <w:sz w:val="18"/>
                <w:szCs w:val="18"/>
                <w:b w:val="1"/>
                <w:bCs w:val="1"/>
                <w:i w:val="1"/>
                <w:iCs w:val="1"/>
                <w:color w:val="auto"/>
                <w:w w:val="89"/>
              </w:rPr>
              <w:t>One Month Ended</w:t>
            </w:r>
          </w:p>
        </w:tc>
        <w:tc>
          <w:tcPr>
            <w:tcW w:w="300" w:type="dxa"/>
            <w:vAlign w:val="bottom"/>
            <w:shd w:val="clear" w:color="auto" w:fill="CCEEFF"/>
          </w:tcPr>
          <w:p>
            <w:pPr>
              <w:spacing w:after="0"/>
              <w:rPr>
                <w:sz w:val="17"/>
                <w:szCs w:val="17"/>
                <w:color w:val="auto"/>
              </w:rPr>
            </w:pPr>
          </w:p>
        </w:tc>
        <w:tc>
          <w:tcPr>
            <w:tcW w:w="1800" w:type="dxa"/>
            <w:vAlign w:val="bottom"/>
            <w:gridSpan w:val="4"/>
            <w:shd w:val="clear" w:color="auto" w:fill="CCEEFF"/>
          </w:tcPr>
          <w:p>
            <w:pPr>
              <w:jc w:val="center"/>
              <w:ind w:right="340"/>
              <w:spacing w:after="0" w:line="202" w:lineRule="exact"/>
              <w:rPr>
                <w:sz w:val="20"/>
                <w:szCs w:val="20"/>
                <w:color w:val="auto"/>
              </w:rPr>
            </w:pPr>
            <w:r>
              <w:rPr>
                <w:rFonts w:ascii="Arial" w:cs="Arial" w:eastAsia="Arial" w:hAnsi="Arial"/>
                <w:sz w:val="18"/>
                <w:szCs w:val="18"/>
                <w:b w:val="1"/>
                <w:bCs w:val="1"/>
                <w:i w:val="1"/>
                <w:iCs w:val="1"/>
                <w:color w:val="auto"/>
                <w:w w:val="88"/>
              </w:rPr>
              <w:t>Two Months Ended</w:t>
            </w:r>
          </w:p>
        </w:tc>
      </w:tr>
      <w:tr>
        <w:trPr>
          <w:trHeight w:val="196"/>
        </w:trPr>
        <w:tc>
          <w:tcPr>
            <w:tcW w:w="5260" w:type="dxa"/>
            <w:vAlign w:val="bottom"/>
            <w:tcBorders>
              <w:top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Growth information for Q1 2020</w:t>
            </w:r>
          </w:p>
        </w:tc>
        <w:tc>
          <w:tcPr>
            <w:tcW w:w="34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gridSpan w:val="3"/>
            <w:shd w:val="clear" w:color="auto" w:fill="CCEEFF"/>
          </w:tcPr>
          <w:p>
            <w:pPr>
              <w:jc w:val="center"/>
              <w:spacing w:after="0" w:line="196" w:lineRule="exact"/>
              <w:rPr>
                <w:sz w:val="20"/>
                <w:szCs w:val="20"/>
                <w:color w:val="auto"/>
              </w:rPr>
            </w:pPr>
            <w:r>
              <w:rPr>
                <w:rFonts w:ascii="Arial" w:cs="Arial" w:eastAsia="Arial" w:hAnsi="Arial"/>
                <w:sz w:val="18"/>
                <w:szCs w:val="18"/>
                <w:b w:val="1"/>
                <w:bCs w:val="1"/>
                <w:i w:val="1"/>
                <w:iCs w:val="1"/>
                <w:color w:val="auto"/>
                <w:w w:val="92"/>
              </w:rPr>
              <w:t>March 28, 2020</w:t>
            </w:r>
          </w:p>
        </w:tc>
        <w:tc>
          <w:tcPr>
            <w:tcW w:w="440" w:type="dxa"/>
            <w:vAlign w:val="bottom"/>
            <w:tcBorders>
              <w:top w:val="single" w:sz="8" w:color="CCEEFF"/>
            </w:tcBorders>
            <w:gridSpan w:val="2"/>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gridSpan w:val="2"/>
            <w:shd w:val="clear" w:color="auto" w:fill="CCEEFF"/>
          </w:tcPr>
          <w:p>
            <w:pPr>
              <w:jc w:val="center"/>
              <w:ind w:right="60"/>
              <w:spacing w:after="0" w:line="196" w:lineRule="exact"/>
              <w:rPr>
                <w:sz w:val="20"/>
                <w:szCs w:val="20"/>
                <w:color w:val="auto"/>
              </w:rPr>
            </w:pPr>
            <w:r>
              <w:rPr>
                <w:rFonts w:ascii="Arial" w:cs="Arial" w:eastAsia="Arial" w:hAnsi="Arial"/>
                <w:sz w:val="18"/>
                <w:szCs w:val="18"/>
                <w:b w:val="1"/>
                <w:bCs w:val="1"/>
                <w:i w:val="1"/>
                <w:iCs w:val="1"/>
                <w:color w:val="auto"/>
                <w:w w:val="90"/>
              </w:rPr>
              <w:t>February 29, 2020</w:t>
            </w:r>
          </w:p>
        </w:tc>
        <w:tc>
          <w:tcPr>
            <w:tcW w:w="300" w:type="dxa"/>
            <w:vAlign w:val="bottom"/>
            <w:tcBorders>
              <w:top w:val="single" w:sz="8" w:color="CCEEFF"/>
            </w:tcBorders>
            <w:shd w:val="clear" w:color="auto" w:fill="CCEEFF"/>
          </w:tcPr>
          <w:p>
            <w:pPr>
              <w:spacing w:after="0"/>
              <w:rPr>
                <w:sz w:val="17"/>
                <w:szCs w:val="17"/>
                <w:color w:val="auto"/>
              </w:rPr>
            </w:pPr>
          </w:p>
        </w:tc>
      </w:tr>
      <w:tr>
        <w:trPr>
          <w:trHeight w:val="48"/>
        </w:trPr>
        <w:tc>
          <w:tcPr>
            <w:tcW w:w="5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Total comparable store sales growth</w:t>
            </w:r>
          </w:p>
        </w:tc>
        <w:tc>
          <w:tcPr>
            <w:tcW w:w="460" w:type="dxa"/>
            <w:vAlign w:val="bottom"/>
            <w:gridSpan w:val="2"/>
          </w:tcPr>
          <w:p>
            <w:pPr>
              <w:spacing w:after="0"/>
              <w:rPr>
                <w:sz w:val="21"/>
                <w:szCs w:val="21"/>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2100" w:type="dxa"/>
            <w:vAlign w:val="bottom"/>
            <w:gridSpan w:val="5"/>
          </w:tcPr>
          <w:p>
            <w:pPr>
              <w:jc w:val="right"/>
              <w:ind w:right="40"/>
              <w:spacing w:after="0"/>
              <w:rPr>
                <w:sz w:val="20"/>
                <w:szCs w:val="20"/>
                <w:color w:val="auto"/>
              </w:rPr>
            </w:pPr>
            <w:r>
              <w:rPr>
                <w:rFonts w:ascii="Arial" w:cs="Arial" w:eastAsia="Arial" w:hAnsi="Arial"/>
                <w:sz w:val="18"/>
                <w:szCs w:val="18"/>
                <w:color w:val="auto"/>
              </w:rPr>
              <w:t>5.6 %</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70"/>
        </w:trPr>
        <w:tc>
          <w:tcPr>
            <w:tcW w:w="52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Adjusted Comparable Store Sales Growth</w:t>
            </w:r>
            <w:r>
              <w:rPr>
                <w:rFonts w:ascii="Arial" w:cs="Arial" w:eastAsia="Arial" w:hAnsi="Arial"/>
                <w:sz w:val="25"/>
                <w:szCs w:val="25"/>
                <w:color w:val="auto"/>
                <w:vertAlign w:val="superscript"/>
              </w:rPr>
              <w:t>(b)</w:t>
            </w:r>
          </w:p>
        </w:tc>
        <w:tc>
          <w:tcPr>
            <w:tcW w:w="2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23"/>
                <w:szCs w:val="23"/>
                <w:color w:val="auto"/>
              </w:rPr>
            </w:pPr>
          </w:p>
        </w:tc>
        <w:tc>
          <w:tcPr>
            <w:tcW w:w="21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5.7 %</w:t>
            </w:r>
          </w:p>
        </w:tc>
      </w:tr>
    </w:tbl>
    <w:p>
      <w:pPr>
        <w:spacing w:after="0" w:line="89" w:lineRule="exact"/>
        <w:rPr>
          <w:sz w:val="20"/>
          <w:szCs w:val="20"/>
          <w:color w:val="auto"/>
        </w:rPr>
      </w:pPr>
    </w:p>
    <w:p>
      <w:pPr>
        <w:jc w:val="both"/>
        <w:ind w:left="660" w:hanging="328"/>
        <w:spacing w:after="0" w:line="249"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10. “Segment Reporting” in our unaudited condensed consolidated financial statements included in Part 1. Item 1. in our Quarterly Report on Form 10-Q, with the exception of the Legacy segment, which is adjusted as noted in clause (b) (ii) below.</w:t>
      </w:r>
    </w:p>
    <w:p>
      <w:pPr>
        <w:spacing w:after="0" w:line="82" w:lineRule="exact"/>
        <w:rPr>
          <w:rFonts w:ascii="Arial" w:cs="Arial" w:eastAsia="Arial" w:hAnsi="Arial"/>
          <w:sz w:val="14"/>
          <w:szCs w:val="14"/>
          <w:color w:val="auto"/>
        </w:rPr>
      </w:pPr>
    </w:p>
    <w:p>
      <w:pPr>
        <w:jc w:val="both"/>
        <w:ind w:left="660" w:hanging="328"/>
        <w:spacing w:after="0" w:line="268" w:lineRule="auto"/>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7.5% and an increase of 0.8% from total comparable store sales growth based on consolidated net revenue for the three months ended March 28, 2020 and March 30, 2019, respectively, a decrease of 22.5% for the one month ended March 28, 2020 and a decrease of 0.2% for the two months ended February 29, 2020 and (ii) Adjusted Comparable Store Sales Growth includes retail sales to the Legacy partner’s customers (rather than the revenues recognized consistent with the management &amp; services agreement with the legacy partner), resulting in an increase of 0.1% and a decrease of 0.3% from total comparable store sales growth based on consolidated net revenue for the three months ended March 28, 2020 and March 30, 2019, respectively, a decrease of 0.2% for the one month ended March 28, 2020, and an increase of 0.3% for the two months ended February 29, 2020.</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Mann, CFA, Vice President of Investor Relations</w:t>
      </w:r>
    </w:p>
    <w:p>
      <w:pPr>
        <w:spacing w:after="0" w:line="9" w:lineRule="exact"/>
        <w:rPr>
          <w:sz w:val="20"/>
          <w:szCs w:val="20"/>
          <w:color w:val="auto"/>
        </w:rPr>
      </w:pPr>
    </w:p>
    <w:p>
      <w:pPr>
        <w:ind w:right="8460" w:firstLine="8"/>
        <w:spacing w:after="0" w:line="323" w:lineRule="auto"/>
        <w:tabs>
          <w:tab w:leader="none" w:pos="4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448-2448 investor.relations@nationalvision.com</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Kristina Gross, Vice President of Communications</w:t>
      </w:r>
    </w:p>
    <w:p>
      <w:pPr>
        <w:spacing w:after="0" w:line="9" w:lineRule="exact"/>
        <w:rPr>
          <w:sz w:val="20"/>
          <w:szCs w:val="20"/>
          <w:color w:val="auto"/>
        </w:rPr>
      </w:pPr>
    </w:p>
    <w:p>
      <w:pPr>
        <w:ind w:right="9260" w:firstLine="8"/>
        <w:spacing w:after="0" w:line="323" w:lineRule="auto"/>
        <w:tabs>
          <w:tab w:leader="none" w:pos="4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448-2355 media@nationalvision.com</w:t>
      </w:r>
    </w:p>
    <w:sectPr>
      <w:pgSz w:w="11900" w:h="16838" w:orient="portrait"/>
      <w:cols w:equalWidth="0" w:num="1">
        <w:col w:w="11240"/>
      </w:cols>
      <w:pgMar w:left="320" w:top="4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470"/>
    </w:lvl>
  </w:abstractNum>
  <w:abstractNum w:abstractNumId="11">
    <w:nsid w:val="66EF438D"/>
    <w:multiLevelType w:val="hybridMultilevel"/>
    <w:lvl w:ilvl="0">
      <w:lvlJc w:val="left"/>
      <w:lvlText w:val="(%1)"/>
      <w:numFmt w:val="decimal"/>
      <w:start w:val="47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2020-05-07T05:18:46Z</dcterms:created>
  <dcterms:modified xsi:type="dcterms:W3CDTF">2020-05-07T05:18:46Z</dcterms:modified>
</cp:coreProperties>
</file>