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175895</wp:posOffset>
            </wp:positionV>
            <wp:extent cx="2503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30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58420</wp:posOffset>
            </wp:positionV>
            <wp:extent cx="25031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9, 2024 (August 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177165</wp:posOffset>
            </wp:positionV>
            <wp:extent cx="25031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tbl>
      <w:tblPr>
        <w:tblLayout w:type="fixed"/>
        <w:tblInd w:w="1380" w:type="dxa"/>
        <w:tblCellMar>
          <w:top w:w="0" w:type="dxa"/>
          <w:left w:w="0" w:type="dxa"/>
          <w:bottom w:w="0" w:type="dxa"/>
          <w:right w:w="0" w:type="dxa"/>
        </w:tblCellMar>
      </w:tblPr>
      <w:tr>
        <w:trPr>
          <w:trHeight w:val="308"/>
        </w:trPr>
        <w:tc>
          <w:tcPr>
            <w:tcW w:w="2280" w:type="dxa"/>
            <w:vAlign w:val="bottom"/>
          </w:tcPr>
          <w:p>
            <w:pPr>
              <w:spacing w:after="0"/>
              <w:rPr>
                <w:sz w:val="24"/>
                <w:szCs w:val="24"/>
                <w:color w:val="auto"/>
              </w:rPr>
            </w:pPr>
          </w:p>
        </w:tc>
        <w:tc>
          <w:tcPr>
            <w:tcW w:w="3940" w:type="dxa"/>
            <w:vAlign w:val="bottom"/>
          </w:tcPr>
          <w:p>
            <w:pPr>
              <w:ind w:left="320"/>
              <w:spacing w:after="0"/>
              <w:rPr>
                <w:sz w:val="20"/>
                <w:szCs w:val="20"/>
                <w:color w:val="auto"/>
              </w:rPr>
            </w:pPr>
            <w:r>
              <w:rPr>
                <w:rFonts w:ascii="Times New Roman" w:cs="Times New Roman" w:eastAsia="Times New Roman" w:hAnsi="Times New Roman"/>
                <w:sz w:val="25"/>
                <w:szCs w:val="25"/>
                <w:b w:val="1"/>
                <w:bCs w:val="1"/>
                <w:color w:val="auto"/>
              </w:rPr>
              <w:t>National Vision Holdings, Inc.</w:t>
            </w:r>
          </w:p>
        </w:tc>
        <w:tc>
          <w:tcPr>
            <w:tcW w:w="1500" w:type="dxa"/>
            <w:vAlign w:val="bottom"/>
          </w:tcPr>
          <w:p>
            <w:pPr>
              <w:spacing w:after="0"/>
              <w:rPr>
                <w:sz w:val="24"/>
                <w:szCs w:val="24"/>
                <w:color w:val="auto"/>
              </w:rPr>
            </w:pPr>
          </w:p>
        </w:tc>
      </w:tr>
      <w:tr>
        <w:trPr>
          <w:trHeight w:val="234"/>
        </w:trPr>
        <w:tc>
          <w:tcPr>
            <w:tcW w:w="2280" w:type="dxa"/>
            <w:vAlign w:val="bottom"/>
          </w:tcPr>
          <w:p>
            <w:pPr>
              <w:spacing w:after="0"/>
              <w:rPr>
                <w:sz w:val="20"/>
                <w:szCs w:val="20"/>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500" w:type="dxa"/>
            <w:vAlign w:val="bottom"/>
          </w:tcPr>
          <w:p>
            <w:pPr>
              <w:spacing w:after="0"/>
              <w:rPr>
                <w:sz w:val="20"/>
                <w:szCs w:val="20"/>
                <w:color w:val="auto"/>
              </w:rPr>
            </w:pPr>
          </w:p>
        </w:tc>
      </w:tr>
      <w:tr>
        <w:trPr>
          <w:trHeight w:val="54"/>
        </w:trPr>
        <w:tc>
          <w:tcPr>
            <w:tcW w:w="2280" w:type="dxa"/>
            <w:vAlign w:val="bottom"/>
          </w:tcPr>
          <w:p>
            <w:pPr>
              <w:spacing w:after="0"/>
              <w:rPr>
                <w:sz w:val="4"/>
                <w:szCs w:val="4"/>
                <w:color w:val="auto"/>
              </w:rPr>
            </w:pPr>
          </w:p>
        </w:tc>
        <w:tc>
          <w:tcPr>
            <w:tcW w:w="3940" w:type="dxa"/>
            <w:vAlign w:val="bottom"/>
            <w:tcBorders>
              <w:bottom w:val="single" w:sz="8" w:color="auto"/>
            </w:tcBorders>
          </w:tcPr>
          <w:p>
            <w:pPr>
              <w:spacing w:after="0"/>
              <w:rPr>
                <w:sz w:val="4"/>
                <w:szCs w:val="4"/>
                <w:color w:val="auto"/>
              </w:rPr>
            </w:pPr>
          </w:p>
        </w:tc>
        <w:tc>
          <w:tcPr>
            <w:tcW w:w="1500" w:type="dxa"/>
            <w:vAlign w:val="bottom"/>
          </w:tcPr>
          <w:p>
            <w:pPr>
              <w:spacing w:after="0"/>
              <w:rPr>
                <w:sz w:val="4"/>
                <w:szCs w:val="4"/>
                <w:color w:val="auto"/>
              </w:rPr>
            </w:pPr>
          </w:p>
        </w:tc>
      </w:tr>
      <w:tr>
        <w:trPr>
          <w:trHeight w:val="471"/>
        </w:trPr>
        <w:tc>
          <w:tcPr>
            <w:tcW w:w="6220" w:type="dxa"/>
            <w:vAlign w:val="bottom"/>
            <w:gridSpan w:val="2"/>
          </w:tcPr>
          <w:p>
            <w:pPr>
              <w:jc w:val="right"/>
              <w:ind w:right="1481"/>
              <w:spacing w:after="0"/>
              <w:rPr>
                <w:sz w:val="20"/>
                <w:szCs w:val="20"/>
                <w:color w:val="auto"/>
              </w:rPr>
            </w:pPr>
            <w:r>
              <w:rPr>
                <w:rFonts w:ascii="Times New Roman" w:cs="Times New Roman" w:eastAsia="Times New Roman" w:hAnsi="Times New Roman"/>
                <w:sz w:val="18"/>
                <w:szCs w:val="18"/>
                <w:b w:val="1"/>
                <w:bCs w:val="1"/>
                <w:color w:val="auto"/>
              </w:rPr>
              <w:t>001-38257</w:t>
            </w:r>
          </w:p>
        </w:tc>
        <w:tc>
          <w:tcPr>
            <w:tcW w:w="1500" w:type="dxa"/>
            <w:vAlign w:val="bottom"/>
          </w:tcPr>
          <w:p>
            <w:pPr>
              <w:spacing w:after="0"/>
              <w:rPr>
                <w:sz w:val="24"/>
                <w:szCs w:val="24"/>
                <w:color w:val="auto"/>
              </w:rPr>
            </w:pPr>
          </w:p>
        </w:tc>
      </w:tr>
      <w:tr>
        <w:trPr>
          <w:trHeight w:val="238"/>
        </w:trPr>
        <w:tc>
          <w:tcPr>
            <w:tcW w:w="2280" w:type="dxa"/>
            <w:vAlign w:val="bottom"/>
          </w:tcPr>
          <w:p>
            <w:pPr>
              <w:spacing w:after="0"/>
              <w:rPr>
                <w:sz w:val="20"/>
                <w:szCs w:val="20"/>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1500" w:type="dxa"/>
            <w:vAlign w:val="bottom"/>
          </w:tcPr>
          <w:p>
            <w:pPr>
              <w:spacing w:after="0"/>
              <w:rPr>
                <w:sz w:val="20"/>
                <w:szCs w:val="20"/>
                <w:color w:val="auto"/>
              </w:rPr>
            </w:pPr>
          </w:p>
        </w:tc>
      </w:tr>
      <w:tr>
        <w:trPr>
          <w:trHeight w:val="414"/>
        </w:trPr>
        <w:tc>
          <w:tcPr>
            <w:tcW w:w="6220" w:type="dxa"/>
            <w:vAlign w:val="bottom"/>
            <w:gridSpan w:val="2"/>
          </w:tcPr>
          <w:p>
            <w:pPr>
              <w:jc w:val="center"/>
              <w:ind w:right="324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5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46-4841717</w:t>
            </w:r>
          </w:p>
        </w:tc>
      </w:tr>
      <w:tr>
        <w:trPr>
          <w:trHeight w:val="216"/>
        </w:trPr>
        <w:tc>
          <w:tcPr>
            <w:tcW w:w="6220" w:type="dxa"/>
            <w:vAlign w:val="bottom"/>
            <w:gridSpan w:val="2"/>
          </w:tcPr>
          <w:p>
            <w:pPr>
              <w:jc w:val="center"/>
              <w:ind w:right="3241"/>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1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6220" w:type="dxa"/>
            <w:vAlign w:val="bottom"/>
            <w:gridSpan w:val="2"/>
          </w:tcPr>
          <w:p>
            <w:pPr>
              <w:jc w:val="center"/>
              <w:ind w:right="3241"/>
              <w:spacing w:after="0"/>
              <w:rPr>
                <w:sz w:val="20"/>
                <w:szCs w:val="20"/>
                <w:color w:val="auto"/>
              </w:rPr>
            </w:pPr>
            <w:r>
              <w:rPr>
                <w:rFonts w:ascii="Times New Roman" w:cs="Times New Roman" w:eastAsia="Times New Roman" w:hAnsi="Times New Roman"/>
                <w:sz w:val="18"/>
                <w:szCs w:val="18"/>
                <w:color w:val="auto"/>
              </w:rPr>
              <w:t>incorporation)</w:t>
            </w:r>
          </w:p>
        </w:tc>
        <w:tc>
          <w:tcPr>
            <w:tcW w:w="1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6220" w:type="dxa"/>
            <w:vAlign w:val="bottom"/>
            <w:gridSpan w:val="2"/>
          </w:tcPr>
          <w:p>
            <w:pPr>
              <w:jc w:val="center"/>
              <w:ind w:right="3261"/>
              <w:spacing w:after="0"/>
              <w:rPr>
                <w:sz w:val="20"/>
                <w:szCs w:val="20"/>
                <w:color w:val="auto"/>
              </w:rPr>
            </w:pPr>
            <w:r>
              <w:rPr>
                <w:rFonts w:ascii="Times New Roman" w:cs="Times New Roman" w:eastAsia="Times New Roman" w:hAnsi="Times New Roman"/>
                <w:sz w:val="18"/>
                <w:szCs w:val="18"/>
                <w:b w:val="1"/>
                <w:bCs w:val="1"/>
                <w:color w:val="auto"/>
                <w:w w:val="99"/>
              </w:rPr>
              <w:t>2435 Commerce Ave.</w:t>
            </w:r>
          </w:p>
        </w:tc>
        <w:tc>
          <w:tcPr>
            <w:tcW w:w="1500" w:type="dxa"/>
            <w:vAlign w:val="bottom"/>
          </w:tcPr>
          <w:p>
            <w:pPr>
              <w:spacing w:after="0"/>
              <w:rPr>
                <w:sz w:val="24"/>
                <w:szCs w:val="24"/>
                <w:color w:val="auto"/>
              </w:rPr>
            </w:pPr>
          </w:p>
        </w:tc>
      </w:tr>
      <w:tr>
        <w:trPr>
          <w:trHeight w:val="216"/>
        </w:trPr>
        <w:tc>
          <w:tcPr>
            <w:tcW w:w="6220" w:type="dxa"/>
            <w:vAlign w:val="bottom"/>
            <w:gridSpan w:val="2"/>
          </w:tcPr>
          <w:p>
            <w:pPr>
              <w:jc w:val="center"/>
              <w:ind w:right="3261"/>
              <w:spacing w:after="0"/>
              <w:rPr>
                <w:sz w:val="20"/>
                <w:szCs w:val="20"/>
                <w:color w:val="auto"/>
              </w:rPr>
            </w:pPr>
            <w:r>
              <w:rPr>
                <w:rFonts w:ascii="Times New Roman" w:cs="Times New Roman" w:eastAsia="Times New Roman" w:hAnsi="Times New Roman"/>
                <w:sz w:val="18"/>
                <w:szCs w:val="18"/>
                <w:b w:val="1"/>
                <w:bCs w:val="1"/>
                <w:color w:val="auto"/>
                <w:w w:val="99"/>
              </w:rPr>
              <w:t>Building 2200</w:t>
            </w:r>
          </w:p>
        </w:tc>
        <w:tc>
          <w:tcPr>
            <w:tcW w:w="15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30096</w:t>
            </w:r>
          </w:p>
        </w:tc>
      </w:tr>
      <w:tr>
        <w:trPr>
          <w:trHeight w:val="220"/>
        </w:trPr>
        <w:tc>
          <w:tcPr>
            <w:tcW w:w="6220" w:type="dxa"/>
            <w:vAlign w:val="bottom"/>
            <w:gridSpan w:val="2"/>
          </w:tcPr>
          <w:p>
            <w:pPr>
              <w:jc w:val="center"/>
              <w:ind w:right="3241"/>
              <w:spacing w:after="0"/>
              <w:rPr>
                <w:sz w:val="20"/>
                <w:szCs w:val="20"/>
                <w:color w:val="auto"/>
              </w:rPr>
            </w:pPr>
            <w:r>
              <w:rPr>
                <w:rFonts w:ascii="Times New Roman" w:cs="Times New Roman" w:eastAsia="Times New Roman" w:hAnsi="Times New Roman"/>
                <w:sz w:val="18"/>
                <w:szCs w:val="18"/>
                <w:b w:val="1"/>
                <w:bCs w:val="1"/>
                <w:color w:val="auto"/>
                <w:w w:val="99"/>
              </w:rPr>
              <w:t>Duluth, Georgia</w:t>
            </w:r>
          </w:p>
        </w:tc>
        <w:tc>
          <w:tcPr>
            <w:tcW w:w="1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34"/>
        </w:trPr>
        <w:tc>
          <w:tcPr>
            <w:tcW w:w="6220" w:type="dxa"/>
            <w:vAlign w:val="bottom"/>
            <w:gridSpan w:val="2"/>
          </w:tcPr>
          <w:p>
            <w:pPr>
              <w:jc w:val="center"/>
              <w:ind w:right="3261"/>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500" w:type="dxa"/>
            <w:vAlign w:val="bottom"/>
          </w:tcPr>
          <w:p>
            <w:pPr>
              <w:spacing w:after="0"/>
              <w:rPr>
                <w:sz w:val="20"/>
                <w:szCs w:val="20"/>
                <w:color w:val="auto"/>
              </w:rPr>
            </w:pPr>
          </w:p>
        </w:tc>
      </w:tr>
      <w:tr>
        <w:trPr>
          <w:trHeight w:val="414"/>
        </w:trPr>
        <w:tc>
          <w:tcPr>
            <w:tcW w:w="6220" w:type="dxa"/>
            <w:vAlign w:val="bottom"/>
            <w:gridSpan w:val="2"/>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(770) 822-3600</w:t>
            </w:r>
          </w:p>
        </w:tc>
        <w:tc>
          <w:tcPr>
            <w:tcW w:w="1500" w:type="dxa"/>
            <w:vAlign w:val="bottom"/>
          </w:tcPr>
          <w:p>
            <w:pPr>
              <w:spacing w:after="0"/>
              <w:rPr>
                <w:sz w:val="24"/>
                <w:szCs w:val="24"/>
                <w:color w:val="auto"/>
              </w:rPr>
            </w:pPr>
          </w:p>
        </w:tc>
      </w:tr>
      <w:tr>
        <w:trPr>
          <w:trHeight w:val="234"/>
        </w:trPr>
        <w:tc>
          <w:tcPr>
            <w:tcW w:w="2280" w:type="dxa"/>
            <w:vAlign w:val="bottom"/>
          </w:tcPr>
          <w:p>
            <w:pPr>
              <w:spacing w:after="0"/>
              <w:rPr>
                <w:sz w:val="20"/>
                <w:szCs w:val="20"/>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5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177165</wp:posOffset>
            </wp:positionV>
            <wp:extent cx="2503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459"/>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40" w:type="dxa"/>
            <w:vAlign w:val="bottom"/>
          </w:tcPr>
          <w:p>
            <w:pPr>
              <w:spacing w:after="0"/>
              <w:rPr>
                <w:sz w:val="24"/>
                <w:szCs w:val="24"/>
                <w:color w:val="auto"/>
              </w:rPr>
            </w:pPr>
          </w:p>
        </w:tc>
        <w:tc>
          <w:tcPr>
            <w:tcW w:w="2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20" w:type="dxa"/>
            <w:vAlign w:val="bottom"/>
          </w:tcPr>
          <w:p>
            <w:pPr>
              <w:spacing w:after="0"/>
              <w:rPr>
                <w:sz w:val="24"/>
                <w:szCs w:val="24"/>
                <w:color w:val="auto"/>
              </w:rPr>
            </w:pPr>
          </w:p>
        </w:tc>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7"/>
        </w:trPr>
        <w:tc>
          <w:tcPr>
            <w:tcW w:w="4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3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EYE</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 Joinder Agreement</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August 9, 2024, Nautilus Acquisition Holdings, Inc.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a Delaware corporation and a wholly-owned subsidiary of National Vision Holdings,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National Vision</w:t>
      </w:r>
      <w:r>
        <w:rPr>
          <w:rFonts w:ascii="Times New Roman" w:cs="Times New Roman" w:eastAsia="Times New Roman" w:hAnsi="Times New Roman"/>
          <w:sz w:val="18"/>
          <w:szCs w:val="18"/>
          <w:color w:val="auto"/>
        </w:rPr>
        <w:t>”), National Vision, Inc.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a Georgia corporation and a wholly-owned subsidiary of the Company, and certain other subsidiaries of the Company entered into a Joinder Agreement (the “</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to the Second Amended and Restated Credit Agreement, dated as of June 13, 2023 (as amended,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Holdings, Borrower, the other credit parties party thereto, the lenders party thereto and Bank of America, N.A., as administrative agent and collateral agent.</w:t>
      </w:r>
    </w:p>
    <w:p>
      <w:pPr>
        <w:spacing w:after="0" w:line="187"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The Joinder Agreement provides for, among other things, the establishment of incremental term loans in an aggregate principal amount of $115,000,000 (the “</w:t>
      </w:r>
      <w:r>
        <w:rPr>
          <w:rFonts w:ascii="Times New Roman" w:cs="Times New Roman" w:eastAsia="Times New Roman" w:hAnsi="Times New Roman"/>
          <w:sz w:val="18"/>
          <w:szCs w:val="18"/>
          <w:u w:val="single" w:color="auto"/>
          <w:color w:val="auto"/>
        </w:rPr>
        <w:t>New Term Loans</w:t>
      </w:r>
      <w:r>
        <w:rPr>
          <w:rFonts w:ascii="Times New Roman" w:cs="Times New Roman" w:eastAsia="Times New Roman" w:hAnsi="Times New Roman"/>
          <w:sz w:val="18"/>
          <w:szCs w:val="18"/>
          <w:color w:val="auto"/>
        </w:rPr>
        <w:t>”), provided to the borrower on August 9, 2024.</w:t>
      </w:r>
    </w:p>
    <w:p>
      <w:pPr>
        <w:spacing w:after="0" w:line="162"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New Term Loans have the same terms as the existing term loans under the Credit Agreement and constitute the same class of loans for all purposes under the Credit Agreement.</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proceeds of the New Term Loans, together with cash from the balance sheet, are intended to be used to repurchase a portion of the Company’s 2.50% Convertible Senior Notes due 2025 (the “</w:t>
      </w:r>
      <w:r>
        <w:rPr>
          <w:rFonts w:ascii="Times New Roman" w:cs="Times New Roman" w:eastAsia="Times New Roman" w:hAnsi="Times New Roman"/>
          <w:sz w:val="18"/>
          <w:szCs w:val="18"/>
          <w:u w:val="single" w:color="auto"/>
          <w:color w:val="auto"/>
        </w:rPr>
        <w:t>2025 Notes</w:t>
      </w:r>
      <w:r>
        <w:rPr>
          <w:rFonts w:ascii="Times New Roman" w:cs="Times New Roman" w:eastAsia="Times New Roman" w:hAnsi="Times New Roman"/>
          <w:sz w:val="18"/>
          <w:szCs w:val="18"/>
          <w:color w:val="auto"/>
        </w:rPr>
        <w:t>” and such repurchase, the “</w:t>
      </w:r>
      <w:r>
        <w:rPr>
          <w:rFonts w:ascii="Times New Roman" w:cs="Times New Roman" w:eastAsia="Times New Roman" w:hAnsi="Times New Roman"/>
          <w:sz w:val="18"/>
          <w:szCs w:val="18"/>
          <w:u w:val="single" w:color="auto"/>
          <w:color w:val="auto"/>
        </w:rPr>
        <w:t>Repurchase Transactions</w:t>
      </w:r>
      <w:r>
        <w:rPr>
          <w:rFonts w:ascii="Times New Roman" w:cs="Times New Roman" w:eastAsia="Times New Roman" w:hAnsi="Times New Roman"/>
          <w:sz w:val="18"/>
          <w:szCs w:val="18"/>
          <w:color w:val="auto"/>
        </w:rPr>
        <w:t>”) and to pay fees and expenses in connection therewith.</w:t>
      </w:r>
    </w:p>
    <w:p>
      <w:pPr>
        <w:spacing w:after="0" w:line="176"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A copy of the Joinder Agreement is filed herewith as Exhibit 10.1 and incorporated herein by reference. The above description of the Joinder Agreement is qualified in its entirety by reference to such exhibit.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under Item 1.01 of this Current Report on Form 8-K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On August 8, 2024, the Company issued a press release related to the matters described in Item 1.01 above and Item 8.01 below. A copy of the press release is furnished as Exhibit 99.1 hereto.</w:t>
      </w:r>
    </w:p>
    <w:p>
      <w:pPr>
        <w:spacing w:after="0" w:line="162"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information in Item 7.01 of this Current Report on Form 8-K, including Exhibit 99.1, is being furnished to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highlight w:val="white"/>
        </w:rPr>
        <w:t>”) pursuant to Item 7.01 of Form 8-K and shall not be deemed to be “filed” for purposes of Section 18 of the Securities Exchange</w:t>
      </w:r>
      <w:r>
        <w:rPr>
          <w:rFonts w:ascii="Times New Roman" w:cs="Times New Roman" w:eastAsia="Times New Roman" w:hAnsi="Times New Roman"/>
          <w:sz w:val="18"/>
          <w:szCs w:val="18"/>
          <w:color w:val="auto"/>
        </w:rPr>
        <w:t xml:space="preserv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liabilities of that section, nor shall it be deemed incorporated by reference into any of National Vision’s filings with the SEC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the Exchange Act, except as shall be expressly set forth by specific reference in such a filing.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On August 8, 2024, the Company agreed to repurchase approximately $218 million aggregate principal amount of its 2025 Notes for an aggregate cash repurchase price of approximately $215 million plus accrued and unpaid interest on such notes. The Repurchase Transactions are expected to close on or about August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ind w:right="6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This Current Report on Form 8-K contains forward-looking statements within the meaning of Section 27A of the Securities Act and Section 21E of the Exchange Act. These statements include, but are not limited to, statements related to our current beliefs and expectations regarding the Repurchase Transactions. You can identify these forward-looking statements by the use of words such as “preliminary,” “believes,” “expects,” “potential,” “continues,” “may,” “will,” “should,” “could,” “seeks,” “intends,” “plans,” “estimates,” “anticipates” or the negative version of these words or other comparable words. Caution should be taken not to place undue reliance on any forward-looking statement as such statements speak only as of the date when made. We undertake no obligation to publicly update or review any forward-looking statement, whether as a result of new information, future developments or otherwise, except as required by law. Forward-looking statements are not guarantees and are subject to various risks and uncertainties, which may cause actual results to differ materially from those implied in forward-looking statements. Such factors include, but are not limited to, those set forth in our Annual Report on Form 10-K under the heading “Risk Factors” and in subsequent filings by National Vision with the SEC. Additional information about factors that could cause National Vision’s results to differ materially from those described in the forward-looking statements can be found in filings by National Vision with the SEC, including our Annual Report on Form 10-K and subsequent Quarterly Reports on Form 10-Q or Current Reports on Form 8-K, which are accessible on the SEC’s website at www.sec.gov. These factors should not be construed as exhaustive and should be read in conjunction with the other cautionary statements that are included in this Current Report on Form 8-K and in our filings with the SEC.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0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400" w:type="dxa"/>
            <w:vAlign w:val="bottom"/>
          </w:tcPr>
          <w:p>
            <w:pPr>
              <w:spacing w:after="0"/>
              <w:rPr>
                <w:sz w:val="24"/>
                <w:szCs w:val="24"/>
                <w:color w:val="auto"/>
              </w:rPr>
            </w:pPr>
          </w:p>
        </w:tc>
        <w:tc>
          <w:tcPr>
            <w:tcW w:w="100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EE"/>
              </w:rPr>
              <w:t xml:space="preserve">Joinder Agreement, dated as of </w:t>
            </w:r>
            <w:r>
              <w:rPr>
                <w:rFonts w:ascii="Times New Roman" w:cs="Times New Roman" w:eastAsia="Times New Roman" w:hAnsi="Times New Roman"/>
                <w:sz w:val="18"/>
                <w:szCs w:val="18"/>
                <w:color w:val="0000EE"/>
                <w:highlight w:val="white"/>
              </w:rPr>
              <w:t>August 9, 2024,</w:t>
            </w:r>
            <w:r>
              <w:rPr>
                <w:rFonts w:ascii="Times New Roman" w:cs="Times New Roman" w:eastAsia="Times New Roman" w:hAnsi="Times New Roman"/>
                <w:sz w:val="18"/>
                <w:szCs w:val="18"/>
                <w:color w:val="0000EE"/>
              </w:rPr>
              <w:t xml:space="preserve"> among Nautilus Acquisition Holdings, Inc., National Vision, Inc., the other credit parties</w:t>
            </w:r>
          </w:p>
        </w:tc>
      </w:tr>
      <w:tr>
        <w:trPr>
          <w:trHeight w:val="196"/>
        </w:trPr>
        <w:tc>
          <w:tcPr>
            <w:tcW w:w="320" w:type="dxa"/>
            <w:vAlign w:val="bottom"/>
            <w:tcBorders>
              <w:top w:val="single" w:sz="8" w:color="0000EE"/>
            </w:tcBorders>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40" w:type="dxa"/>
            <w:vAlign w:val="bottom"/>
            <w:tcBorders>
              <w:top w:val="single" w:sz="8" w:color="0000EE"/>
              <w:bottom w:val="single" w:sz="8" w:color="0000EE"/>
            </w:tcBorders>
            <w:gridSpan w:val="5"/>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party thereto, the lenders party thereto and Bank of America, N.A., as administrative agent and collateral agent.</w:t>
            </w:r>
          </w:p>
        </w:tc>
        <w:tc>
          <w:tcPr>
            <w:tcW w:w="18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400" w:type="dxa"/>
            <w:vAlign w:val="bottom"/>
          </w:tcPr>
          <w:p>
            <w:pPr>
              <w:spacing w:after="0"/>
              <w:rPr>
                <w:sz w:val="17"/>
                <w:szCs w:val="17"/>
                <w:color w:val="auto"/>
              </w:rPr>
            </w:pPr>
          </w:p>
        </w:tc>
        <w:tc>
          <w:tcPr>
            <w:tcW w:w="10000" w:type="dxa"/>
            <w:vAlign w:val="bottom"/>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EE"/>
              </w:rPr>
              <w:t xml:space="preserve">Press Release dated </w:t>
            </w:r>
            <w:r>
              <w:rPr>
                <w:rFonts w:ascii="Times New Roman" w:cs="Times New Roman" w:eastAsia="Times New Roman" w:hAnsi="Times New Roman"/>
                <w:sz w:val="18"/>
                <w:szCs w:val="18"/>
                <w:color w:val="0000EE"/>
                <w:highlight w:val="white"/>
              </w:rPr>
              <w:t>August 8, 2024.</w:t>
            </w:r>
          </w:p>
        </w:tc>
      </w:tr>
      <w:tr>
        <w:trPr>
          <w:trHeight w:val="20"/>
        </w:trPr>
        <w:tc>
          <w:tcPr>
            <w:tcW w:w="3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7380" w:type="dxa"/>
            <w:vAlign w:val="bottom"/>
            <w:gridSpan w:val="3"/>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National Vision Holdings, Inc.</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2024</w:t>
            </w:r>
          </w:p>
        </w:tc>
        <w:tc>
          <w:tcPr>
            <w:tcW w:w="26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Jared Brandman</w:t>
            </w:r>
          </w:p>
        </w:tc>
      </w:tr>
      <w:tr>
        <w:trPr>
          <w:trHeight w:val="191"/>
        </w:trPr>
        <w:tc>
          <w:tcPr>
            <w:tcW w:w="3600" w:type="dxa"/>
            <w:vAlign w:val="bottom"/>
          </w:tcPr>
          <w:p>
            <w:pPr>
              <w:spacing w:after="0"/>
              <w:rPr>
                <w:sz w:val="16"/>
                <w:szCs w:val="16"/>
                <w:color w:val="auto"/>
              </w:rPr>
            </w:pPr>
          </w:p>
        </w:tc>
        <w:tc>
          <w:tcPr>
            <w:tcW w:w="2600" w:type="dxa"/>
            <w:vAlign w:val="bottom"/>
          </w:tcPr>
          <w:p>
            <w:pPr>
              <w:ind w:left="20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Jared Brandman</w:t>
            </w:r>
          </w:p>
        </w:tc>
      </w:tr>
      <w:tr>
        <w:trPr>
          <w:trHeight w:val="234"/>
        </w:trPr>
        <w:tc>
          <w:tcPr>
            <w:tcW w:w="3600" w:type="dxa"/>
            <w:vAlign w:val="bottom"/>
          </w:tcPr>
          <w:p>
            <w:pPr>
              <w:spacing w:after="0"/>
              <w:rPr>
                <w:sz w:val="20"/>
                <w:szCs w:val="20"/>
                <w:color w:val="auto"/>
              </w:rPr>
            </w:pPr>
          </w:p>
        </w:tc>
        <w:tc>
          <w:tcPr>
            <w:tcW w:w="26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r>
        <w:trPr>
          <w:trHeight w:val="675"/>
        </w:trPr>
        <w:tc>
          <w:tcPr>
            <w:tcW w:w="36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JOINDER AGREEMENT</w:t>
      </w:r>
    </w:p>
    <w:p>
      <w:pPr>
        <w:spacing w:after="0" w:line="225" w:lineRule="exact"/>
        <w:rPr>
          <w:sz w:val="20"/>
          <w:szCs w:val="20"/>
          <w:color w:val="auto"/>
        </w:rPr>
      </w:pPr>
    </w:p>
    <w:p>
      <w:pPr>
        <w:ind w:right="380" w:firstLine="1296"/>
        <w:spacing w:after="0" w:line="261" w:lineRule="auto"/>
        <w:rPr>
          <w:sz w:val="20"/>
          <w:szCs w:val="20"/>
          <w:color w:val="auto"/>
        </w:rPr>
      </w:pPr>
      <w:r>
        <w:rPr>
          <w:rFonts w:ascii="Times New Roman" w:cs="Times New Roman" w:eastAsia="Times New Roman" w:hAnsi="Times New Roman"/>
          <w:sz w:val="18"/>
          <w:szCs w:val="18"/>
          <w:color w:val="auto"/>
        </w:rPr>
        <w:t>JOINDER AGREEMENT, dated as of August 9, 2024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among Bank of America, N.A., JPMorgan Chase Bank, N.A., PNC Bank, N.A., Synovus Bank and United Community Bank (each, a “</w:t>
      </w:r>
      <w:r>
        <w:rPr>
          <w:rFonts w:ascii="Times New Roman" w:cs="Times New Roman" w:eastAsia="Times New Roman" w:hAnsi="Times New Roman"/>
          <w:sz w:val="18"/>
          <w:szCs w:val="18"/>
          <w:u w:val="single" w:color="auto"/>
          <w:color w:val="auto"/>
        </w:rPr>
        <w:t>New Term Loan Lender</w:t>
      </w:r>
      <w:r>
        <w:rPr>
          <w:rFonts w:ascii="Times New Roman" w:cs="Times New Roman" w:eastAsia="Times New Roman" w:hAnsi="Times New Roman"/>
          <w:sz w:val="18"/>
          <w:szCs w:val="18"/>
          <w:color w:val="auto"/>
        </w:rPr>
        <w:t>”), Nautilus Acquisition Holdings, Inc., a Delaware corporation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National Vision, Inc., a Georgia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other Credit Parties party hereto and Bank of America, N.A., as the Administrative Agent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1" w:lineRule="exact"/>
        <w:rPr>
          <w:sz w:val="20"/>
          <w:szCs w:val="20"/>
          <w:color w:val="auto"/>
        </w:rPr>
      </w:pPr>
    </w:p>
    <w:p>
      <w:pPr>
        <w:ind w:right="140"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reference is hereby made to the Second Amended and Restated Credit Agreement, dated as of June 13, 2023 (as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Holdings, the Company, as Borrower, the other Credit Parties party thereto, the lending institutions from time to time parties thereto, the Letter of Credit Issuers and Bank of America, N.A., as the Swingline Lender, the Administrative Agent and the Collateral Agent (capitalized terms used but not defined herein having the meaning provided in the Credit Agreement);</w:t>
      </w:r>
    </w:p>
    <w:p>
      <w:pPr>
        <w:spacing w:after="0" w:line="179" w:lineRule="exact"/>
        <w:rPr>
          <w:sz w:val="20"/>
          <w:szCs w:val="20"/>
          <w:color w:val="auto"/>
        </w:rPr>
      </w:pPr>
    </w:p>
    <w:p>
      <w:pPr>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subject to the terms and conditions of the Credit Agreement, the Borrower may establish New Term Loan Commitments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among other things, entering into one or more Joinder Agreements with New Term Loan Lenders;</w:t>
      </w:r>
    </w:p>
    <w:p>
      <w:pPr>
        <w:spacing w:after="0" w:line="155" w:lineRule="exact"/>
        <w:rPr>
          <w:sz w:val="20"/>
          <w:szCs w:val="20"/>
          <w:color w:val="auto"/>
        </w:rPr>
      </w:pPr>
    </w:p>
    <w:p>
      <w:pPr>
        <w:ind w:right="80"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Borrower has notified the Administrative Agent that it is requesting the establishment of New Term Loans in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aggregate principal amount of $115,000,000 (the “</w:t>
      </w:r>
      <w:r>
        <w:rPr>
          <w:rFonts w:ascii="Times New Roman" w:cs="Times New Roman" w:eastAsia="Times New Roman" w:hAnsi="Times New Roman"/>
          <w:sz w:val="18"/>
          <w:szCs w:val="18"/>
          <w:u w:val="single" w:color="auto"/>
          <w:color w:val="auto"/>
        </w:rPr>
        <w:t>New Term Loans</w:t>
      </w:r>
      <w:r>
        <w:rPr>
          <w:rFonts w:ascii="Times New Roman" w:cs="Times New Roman" w:eastAsia="Times New Roman" w:hAnsi="Times New Roman"/>
          <w:sz w:val="18"/>
          <w:szCs w:val="18"/>
          <w:color w:val="auto"/>
        </w:rPr>
        <w:t>”) as an increase to the aggregate principal amount of Term A Loans outstanding under the Credit Agreement immediately prior to the effectiveness of this Joinder Agreement;</w:t>
      </w:r>
    </w:p>
    <w:p>
      <w:pPr>
        <w:spacing w:after="0" w:line="171" w:lineRule="exact"/>
        <w:rPr>
          <w:sz w:val="20"/>
          <w:szCs w:val="20"/>
          <w:color w:val="auto"/>
        </w:rPr>
      </w:pPr>
    </w:p>
    <w:p>
      <w:pPr>
        <w:ind w:right="260"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after giving effect to this Joinder Agreement the aggregate principal amount of Term A Loans (which shall be deemed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 the New Term Loans) outstanding under the Credit Agreement is $257,500,000; and</w:t>
      </w:r>
    </w:p>
    <w:p>
      <w:pPr>
        <w:spacing w:after="0" w:line="155" w:lineRule="exact"/>
        <w:rPr>
          <w:sz w:val="20"/>
          <w:szCs w:val="20"/>
          <w:color w:val="auto"/>
        </w:rPr>
      </w:pPr>
    </w:p>
    <w:p>
      <w:pPr>
        <w:ind w:right="220"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proceeds of the New Term Loans, together with cash from the balance sheet and amounts drawn under the Revolving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Facility, are intended to be used, substantially concurrently with, and in any event within three Business Days (or such later date as the Administrative Agent may determine in its sole discretion) of, the funding of the New Term Loans, to repurchase up to $300 million aggregate principal amount of the Company’s 2.50% Convertible Senior Notes due 2025 and to pay fees and expenses in connection therewith.</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agreements, provisions and covenants herein contained, the parties hereto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 THE NEW TERM LOANS</w:t>
      </w:r>
    </w:p>
    <w:p>
      <w:pPr>
        <w:spacing w:after="0" w:line="229"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Each New Term Loan Lender party hereto hereby agrees to commit to provide its respective New Term Loan Commitment as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annexed hereto, on the terms and subject to the conditions set forth below.</w:t>
      </w:r>
    </w:p>
    <w:p>
      <w:pPr>
        <w:spacing w:after="0" w:line="162" w:lineRule="exact"/>
        <w:rPr>
          <w:sz w:val="20"/>
          <w:szCs w:val="20"/>
          <w:color w:val="auto"/>
        </w:rPr>
      </w:pPr>
    </w:p>
    <w:p>
      <w:pPr>
        <w:ind w:right="40" w:firstLine="1296"/>
        <w:spacing w:after="0" w:line="254" w:lineRule="auto"/>
        <w:rPr>
          <w:sz w:val="20"/>
          <w:szCs w:val="20"/>
          <w:color w:val="auto"/>
        </w:rPr>
      </w:pPr>
      <w:r>
        <w:rPr>
          <w:rFonts w:ascii="Times New Roman" w:cs="Times New Roman" w:eastAsia="Times New Roman" w:hAnsi="Times New Roman"/>
          <w:sz w:val="18"/>
          <w:szCs w:val="18"/>
          <w:color w:val="auto"/>
        </w:rPr>
        <w:t>Each New Term Loan Lender (i) confirms that it has received a copy of the Credit Agreement and the other Credit Documents and the exhibits thereto, together with copies of the financial statements referred to therein and such other documents and information as it has deemed appropriate to make its own credit analysis and decision to enter into this Agreement; (ii) agrees that it will, independently and without reliance upon the Administrative Agent, the Collateral Agent, any other New Term Loan Lender or any other Lender or Agent and based on such documents and information as it shall deem appropriate at the time, continue to make its own credit decisions in taking or not taking action under the Credit Agreement; (iii) appoints and authorizes the Administrative Agent and the Collateral Agent to take such action as agent on its behalf and to exercise such powers under the Credit Agreement and the other Credit Documents as are delegated to the Administrative Agent or the Collateral Agent, as the case may be, by the terms thereof, together with such powers as are reasonably incidental thereto; and (iv) agrees that it will perform in accordance with their terms all of the obligations which by the terms of the Credit Agreement are required to be performed by it as a New Term Loan Lender.</w:t>
      </w:r>
    </w:p>
    <w:p>
      <w:pPr>
        <w:spacing w:after="0" w:line="188" w:lineRule="exact"/>
        <w:rPr>
          <w:sz w:val="20"/>
          <w:szCs w:val="20"/>
          <w:color w:val="auto"/>
        </w:rPr>
      </w:pPr>
    </w:p>
    <w:p>
      <w:pPr>
        <w:ind w:right="220" w:firstLine="1296"/>
        <w:spacing w:after="0" w:line="261" w:lineRule="auto"/>
        <w:rPr>
          <w:sz w:val="20"/>
          <w:szCs w:val="20"/>
          <w:color w:val="auto"/>
        </w:rPr>
      </w:pPr>
      <w:r>
        <w:rPr>
          <w:rFonts w:ascii="Times New Roman" w:cs="Times New Roman" w:eastAsia="Times New Roman" w:hAnsi="Times New Roman"/>
          <w:sz w:val="18"/>
          <w:szCs w:val="18"/>
          <w:color w:val="auto"/>
        </w:rPr>
        <w:t>Each New Term Loan Lender hereby agrees that its New Term Loan Commitment and New Term Loans will be made on the terms set forth in this Article I and subject to the satisfaction (or waiver) of the Funding Date Conditions (as defined below). The Borrower and the Administrative Agent hereby agree that the Credit Agreement will be amended to provide for the New Term Loans as set forth in this Article I upon the satisfaction (or waiver) of the Funding Date Conditions (as defined below).</w:t>
      </w:r>
    </w:p>
    <w:p>
      <w:pPr>
        <w:spacing w:after="0" w:line="176" w:lineRule="exact"/>
        <w:rPr>
          <w:sz w:val="20"/>
          <w:szCs w:val="20"/>
          <w:color w:val="auto"/>
        </w:rPr>
      </w:pPr>
    </w:p>
    <w:p>
      <w:pPr>
        <w:ind w:left="660" w:right="380" w:hanging="652"/>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Initial Drawing</w:t>
      </w:r>
      <w:r>
        <w:rPr>
          <w:rFonts w:ascii="Times New Roman" w:cs="Times New Roman" w:eastAsia="Times New Roman" w:hAnsi="Times New Roman"/>
          <w:sz w:val="18"/>
          <w:szCs w:val="18"/>
          <w:color w:val="auto"/>
        </w:rPr>
        <w:t>. The New Term Loans shall be denominated in Dollars and shall be made in a single drawing on the Funding Date. Upon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funding of the New Term Loans on the Funding Date, the New Term Loan Commitment of each New Term Loan Lender shall be $0.</w:t>
      </w:r>
    </w:p>
    <w:p>
      <w:pPr>
        <w:spacing w:after="0" w:line="154" w:lineRule="exact"/>
        <w:rPr>
          <w:rFonts w:ascii="Times New Roman" w:cs="Times New Roman" w:eastAsia="Times New Roman" w:hAnsi="Times New Roman"/>
          <w:sz w:val="18"/>
          <w:szCs w:val="18"/>
          <w:color w:val="auto"/>
        </w:rPr>
      </w:pPr>
    </w:p>
    <w:p>
      <w:pPr>
        <w:ind w:left="660" w:right="40" w:hanging="652"/>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Applicable Margin</w:t>
      </w:r>
      <w:r>
        <w:rPr>
          <w:rFonts w:ascii="Times New Roman" w:cs="Times New Roman" w:eastAsia="Times New Roman" w:hAnsi="Times New Roman"/>
          <w:sz w:val="18"/>
          <w:szCs w:val="18"/>
          <w:color w:val="auto"/>
        </w:rPr>
        <w:t>. The Applicable Margin for the New Term Loans shall be the same, as of any date of determination, as the Applicable Margin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Term A Loans.</w:t>
      </w:r>
    </w:p>
    <w:p>
      <w:pPr>
        <w:spacing w:after="0" w:line="154" w:lineRule="exact"/>
        <w:rPr>
          <w:rFonts w:ascii="Times New Roman" w:cs="Times New Roman" w:eastAsia="Times New Roman" w:hAnsi="Times New Roman"/>
          <w:sz w:val="18"/>
          <w:szCs w:val="18"/>
          <w:color w:val="auto"/>
        </w:rPr>
      </w:pPr>
    </w:p>
    <w:p>
      <w:pPr>
        <w:jc w:val="both"/>
        <w:ind w:left="660" w:right="40" w:hanging="652"/>
        <w:spacing w:after="0" w:line="26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Principal Payments</w:t>
      </w:r>
      <w:r>
        <w:rPr>
          <w:rFonts w:ascii="Times New Roman" w:cs="Times New Roman" w:eastAsia="Times New Roman" w:hAnsi="Times New Roman"/>
          <w:sz w:val="18"/>
          <w:szCs w:val="18"/>
          <w:color w:val="auto"/>
        </w:rPr>
        <w:t>. The Borrower shall make principal payments on the Term A Loans (including the New Term Loans) on the dates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color w:val="auto"/>
        </w:rPr>
        <w:t xml:space="preserve"> of the Credit Agreement occurring after the Funding Date in an amount equal to $3,312,500. Any remaining outstanding amount of Term A Loans (including the New Term Loans) shall be repaid in full on the Term A Loan Maturity Date.</w:t>
      </w:r>
    </w:p>
    <w:p>
      <w:pPr>
        <w:spacing w:after="0" w:line="170" w:lineRule="exact"/>
        <w:rPr>
          <w:rFonts w:ascii="Times New Roman" w:cs="Times New Roman" w:eastAsia="Times New Roman" w:hAnsi="Times New Roman"/>
          <w:sz w:val="18"/>
          <w:szCs w:val="18"/>
          <w:color w:val="auto"/>
        </w:rPr>
      </w:pPr>
    </w:p>
    <w:p>
      <w:pPr>
        <w:ind w:left="660" w:right="620" w:hanging="652"/>
        <w:spacing w:after="0" w:line="26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Voluntary and Mandatory Prepayments</w:t>
      </w:r>
      <w:r>
        <w:rPr>
          <w:rFonts w:ascii="Times New Roman" w:cs="Times New Roman" w:eastAsia="Times New Roman" w:hAnsi="Times New Roman"/>
          <w:sz w:val="18"/>
          <w:szCs w:val="18"/>
          <w:color w:val="auto"/>
        </w:rPr>
        <w:t>. Scheduled installments of principal of the New Term Loans set forth above shall be reduced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connection with any voluntary or mandatory prepayments of the New Term Loans in accordance with </w:t>
      </w:r>
      <w:r>
        <w:rPr>
          <w:rFonts w:ascii="Times New Roman" w:cs="Times New Roman" w:eastAsia="Times New Roman" w:hAnsi="Times New Roman"/>
          <w:sz w:val="18"/>
          <w:szCs w:val="18"/>
          <w:u w:val="single" w:color="auto"/>
          <w:color w:val="auto"/>
        </w:rPr>
        <w:t>Sections 5.1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5.2</w:t>
      </w:r>
      <w:r>
        <w:rPr>
          <w:rFonts w:ascii="Times New Roman" w:cs="Times New Roman" w:eastAsia="Times New Roman" w:hAnsi="Times New Roman"/>
          <w:sz w:val="18"/>
          <w:szCs w:val="18"/>
          <w:color w:val="auto"/>
        </w:rPr>
        <w:t xml:space="preserve"> of the Credit Agreement respectively.</w:t>
      </w:r>
    </w:p>
    <w:p>
      <w:pPr>
        <w:spacing w:after="0" w:line="170" w:lineRule="exact"/>
        <w:rPr>
          <w:rFonts w:ascii="Times New Roman" w:cs="Times New Roman" w:eastAsia="Times New Roman" w:hAnsi="Times New Roman"/>
          <w:sz w:val="18"/>
          <w:szCs w:val="18"/>
          <w:color w:val="auto"/>
        </w:rPr>
      </w:pPr>
    </w:p>
    <w:p>
      <w:pPr>
        <w:ind w:left="660" w:hanging="652"/>
        <w:spacing w:after="0" w:line="26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Upfront Fees</w:t>
      </w:r>
      <w:r>
        <w:rPr>
          <w:rFonts w:ascii="Times New Roman" w:cs="Times New Roman" w:eastAsia="Times New Roman" w:hAnsi="Times New Roman"/>
          <w:sz w:val="18"/>
          <w:szCs w:val="18"/>
          <w:color w:val="auto"/>
        </w:rPr>
        <w:t>. In connection with the syndication of the New Term Loans, the Borrower agrees to pay to the New Term Loan Lenders upfront fees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equal to 0.25% of the aggregate amount of such New Term Loans funded by each New Term Loan Lender on the Funding Date (the “</w:t>
      </w:r>
      <w:r>
        <w:rPr>
          <w:rFonts w:ascii="Times New Roman" w:cs="Times New Roman" w:eastAsia="Times New Roman" w:hAnsi="Times New Roman"/>
          <w:sz w:val="18"/>
          <w:szCs w:val="18"/>
          <w:u w:val="single" w:color="auto"/>
          <w:color w:val="auto"/>
        </w:rPr>
        <w:t>Upfront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All Upfront Fees shall be payable in full on the Funding Date in immediately available funds and may, at the option of the Borrower, be netted against the proceeds of the New Term Loans.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ind w:left="652" w:right="20" w:hanging="652"/>
        <w:spacing w:after="0" w:line="253" w:lineRule="auto"/>
        <w:tabs>
          <w:tab w:leader="none" w:pos="65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Terms Generally</w:t>
      </w:r>
      <w:r>
        <w:rPr>
          <w:rFonts w:ascii="Times New Roman" w:cs="Times New Roman" w:eastAsia="Times New Roman" w:hAnsi="Times New Roman"/>
          <w:sz w:val="18"/>
          <w:szCs w:val="18"/>
          <w:color w:val="auto"/>
        </w:rPr>
        <w:t>. Other than as set forth herein, for all purposes under the Credit Agreement and the other Credit Documents (including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Joinder Agreement (unless the context dictates otherwise)), the New Term Loans shall have the same terms as the Term A Loans outstanding under the Credit Agreement immediately prior to the Funding Date and shall be treated for purposes of voluntary and mandatory prepayments (including any applicable prepayment fees and for scheduled principal payments) and all other terms as the same Class of Term Loans as the Term A Loans outstanding under the Credit Agreement immediately prior to the Funding Date. Upon the funding of the New Term Loans on the Funding Date, the New Term Loans shall automatically and without further action by any Person constitute Term A Loans for all purposes of the Credit Agreement and the other Credit Documents. The New Term Loans shall be structured as an increase to the existing Term A Loans outstanding under the Credit Agreement immediately prior to the Funding Date that will trade fungibly with such existing Term A Loans. The Administrative Agent shall take any and all action as may be reasonably necessary to ensure that the New Term Loans are included in each Borrowing and repayment of Term A Loans on a pro rata basis. In furtherance of the foregoing, on the Funding Date, there shall commence an initial Interest Period with respect to the New Term Loans, which Interest Period shall end on the last day of the Interest Period applicable to the existing Term A Loans as in effect immediately prior to the Funding Date.</w:t>
      </w:r>
    </w:p>
    <w:p>
      <w:pPr>
        <w:spacing w:after="0" w:line="189" w:lineRule="exact"/>
        <w:rPr>
          <w:rFonts w:ascii="Times New Roman" w:cs="Times New Roman" w:eastAsia="Times New Roman" w:hAnsi="Times New Roman"/>
          <w:sz w:val="18"/>
          <w:szCs w:val="18"/>
          <w:color w:val="auto"/>
        </w:rPr>
      </w:pPr>
    </w:p>
    <w:p>
      <w:pPr>
        <w:ind w:left="652" w:right="40" w:hanging="652"/>
        <w:spacing w:after="0" w:line="286" w:lineRule="auto"/>
        <w:tabs>
          <w:tab w:leader="none" w:pos="65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Proposed Borrowing</w:t>
      </w:r>
      <w:r>
        <w:rPr>
          <w:rFonts w:ascii="Times New Roman" w:cs="Times New Roman" w:eastAsia="Times New Roman" w:hAnsi="Times New Roman"/>
          <w:sz w:val="18"/>
          <w:szCs w:val="18"/>
          <w:color w:val="auto"/>
        </w:rPr>
        <w:t>. This Agreement represents a request by the Borrower to borrow New Term Loans from the New Term Loan Lenders as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on the applicable Borrowing notice delivered by the Borrower under the Credit Agreement.</w:t>
      </w:r>
    </w:p>
    <w:p>
      <w:pPr>
        <w:spacing w:after="0" w:line="154" w:lineRule="exact"/>
        <w:rPr>
          <w:rFonts w:ascii="Times New Roman" w:cs="Times New Roman" w:eastAsia="Times New Roman" w:hAnsi="Times New Roman"/>
          <w:sz w:val="18"/>
          <w:szCs w:val="18"/>
          <w:color w:val="auto"/>
        </w:rPr>
      </w:pPr>
    </w:p>
    <w:p>
      <w:pPr>
        <w:ind w:left="652" w:hanging="652"/>
        <w:spacing w:after="0" w:line="262" w:lineRule="auto"/>
        <w:tabs>
          <w:tab w:leader="none" w:pos="65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New Term Loan Lender</w:t>
      </w:r>
      <w:r>
        <w:rPr>
          <w:rFonts w:ascii="Times New Roman" w:cs="Times New Roman" w:eastAsia="Times New Roman" w:hAnsi="Times New Roman"/>
          <w:sz w:val="18"/>
          <w:szCs w:val="18"/>
          <w:color w:val="auto"/>
        </w:rPr>
        <w:t>. To the extent not already a Lender, each New Term Loan Lender acknowledges and agrees that upon its execution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that such New Term Loan Lender shall become a “Lender” and a “Term A Loan Lender” under, and for all purposes of, the Credit Agreement and the other Credit Documents, and shall be subject to and bound by the terms thereof, and shall perform all the obligations of and shall have all rights of a Lender thereunder.</w:t>
      </w:r>
    </w:p>
    <w:p>
      <w:pPr>
        <w:spacing w:after="0" w:line="176" w:lineRule="exact"/>
        <w:rPr>
          <w:rFonts w:ascii="Times New Roman" w:cs="Times New Roman" w:eastAsia="Times New Roman" w:hAnsi="Times New Roman"/>
          <w:sz w:val="18"/>
          <w:szCs w:val="18"/>
          <w:color w:val="auto"/>
        </w:rPr>
      </w:pPr>
    </w:p>
    <w:p>
      <w:pPr>
        <w:ind w:left="652" w:right="20" w:hanging="652"/>
        <w:spacing w:after="0" w:line="286" w:lineRule="auto"/>
        <w:tabs>
          <w:tab w:leader="none" w:pos="65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Credit Agreement Governs</w:t>
      </w:r>
      <w:r>
        <w:rPr>
          <w:rFonts w:ascii="Times New Roman" w:cs="Times New Roman" w:eastAsia="Times New Roman" w:hAnsi="Times New Roman"/>
          <w:sz w:val="18"/>
          <w:szCs w:val="18"/>
          <w:color w:val="auto"/>
        </w:rPr>
        <w:t>. Except as set forth in this Agreement, the New Term Loans shall otherwise be subject to the provisions of the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the other Credit Documents.</w:t>
      </w:r>
    </w:p>
    <w:p>
      <w:pPr>
        <w:spacing w:after="0" w:line="15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ARTICLE II. OTHER TERMS OF THE JOINDER AGREEMENT</w:t>
      </w:r>
    </w:p>
    <w:p>
      <w:pPr>
        <w:spacing w:after="0" w:line="225" w:lineRule="exact"/>
        <w:rPr>
          <w:sz w:val="20"/>
          <w:szCs w:val="20"/>
          <w:color w:val="auto"/>
        </w:rPr>
      </w:pPr>
    </w:p>
    <w:p>
      <w:pPr>
        <w:ind w:left="652" w:hanging="652"/>
        <w:spacing w:after="0" w:line="270" w:lineRule="auto"/>
        <w:tabs>
          <w:tab w:leader="none" w:pos="652" w:val="left"/>
        </w:tabs>
        <w:numPr>
          <w:ilvl w:val="0"/>
          <w:numId w:val="5"/>
        </w:numPr>
        <w:rPr>
          <w:rFonts w:ascii="Times New Roman" w:cs="Times New Roman" w:eastAsia="Times New Roman" w:hAnsi="Times New Roman"/>
          <w:sz w:val="17"/>
          <w:szCs w:val="17"/>
          <w:color w:val="1F497D"/>
        </w:rPr>
      </w:pPr>
      <w:r>
        <w:rPr>
          <w:rFonts w:ascii="Times New Roman" w:cs="Times New Roman" w:eastAsia="Times New Roman" w:hAnsi="Times New Roman"/>
          <w:sz w:val="17"/>
          <w:szCs w:val="17"/>
          <w:b w:val="1"/>
          <w:bCs w:val="1"/>
          <w:color w:val="auto"/>
        </w:rPr>
        <w:t>Representations and Warranties</w:t>
      </w:r>
      <w:r>
        <w:rPr>
          <w:rFonts w:ascii="Times New Roman" w:cs="Times New Roman" w:eastAsia="Times New Roman" w:hAnsi="Times New Roman"/>
          <w:sz w:val="17"/>
          <w:szCs w:val="17"/>
          <w:color w:val="auto"/>
        </w:rPr>
        <w:t>. The Borrower hereby represents and warrants that this Agreement has been duly authorized, executed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delivered by each Credit Party hereto and constitutes the legal, valid and binding obligations of each such Credit Party enforceable against it in accordance with its terms, except that the enforceability hereof may be limited by bankruptcy, insolvency or similar laws affecting creditors’ rights generally and subject to general principles of equity. The execution, delivery and performance by each Credit Party of this Agreement is within such Credit Party’s corporate powers, has been duly authorized by all necessary corporate or other organizational action, and does not and will not</w:t>
      </w:r>
    </w:p>
    <w:p>
      <w:pPr>
        <w:spacing w:after="0" w:line="2" w:lineRule="exact"/>
        <w:rPr>
          <w:rFonts w:ascii="Times New Roman" w:cs="Times New Roman" w:eastAsia="Times New Roman" w:hAnsi="Times New Roman"/>
          <w:sz w:val="17"/>
          <w:szCs w:val="17"/>
          <w:color w:val="1F497D"/>
        </w:rPr>
      </w:pPr>
    </w:p>
    <w:p>
      <w:pPr>
        <w:ind w:left="652"/>
        <w:spacing w:after="0" w:line="252" w:lineRule="auto"/>
        <w:rPr>
          <w:rFonts w:ascii="Times New Roman" w:cs="Times New Roman" w:eastAsia="Times New Roman" w:hAnsi="Times New Roman"/>
          <w:sz w:val="17"/>
          <w:szCs w:val="17"/>
          <w:color w:val="1F497D"/>
        </w:rPr>
      </w:pPr>
      <w:r>
        <w:rPr>
          <w:rFonts w:ascii="Times New Roman" w:cs="Times New Roman" w:eastAsia="Times New Roman" w:hAnsi="Times New Roman"/>
          <w:sz w:val="18"/>
          <w:szCs w:val="18"/>
          <w:color w:val="auto"/>
        </w:rPr>
        <w:t>(a) conflict with or contravene the terms of any Credit Party’s organization documents, (b) result in any breach or contravention of, or the creation of any Lien under (other than under the Credit Documents), or require any payment to be made under (i) any Contractual Obligation to which any Credit Party is a party or affecting any Credit Party or the properties of the Borrower or any of its Subsidiaries or (ii) any order, injunction, writ or decree of any Governmental Authority or any arbitral award to which any Loan Party or its property is subject; or (c) violate any Law; except with respect to any conflict, breach or contravention or payment or violation (but not creation of Liens) referred to in clauses (b) or (c), to the extent that such conflict, breach, contravention or payment or violation could not, individually or in the aggregate, reasonably be expected to have a Material Adverse Effect.</w:t>
      </w:r>
    </w:p>
    <w:p>
      <w:pPr>
        <w:spacing w:after="0" w:line="200" w:lineRule="exact"/>
        <w:rPr>
          <w:sz w:val="20"/>
          <w:szCs w:val="20"/>
          <w:color w:val="auto"/>
        </w:rPr>
      </w:pPr>
    </w:p>
    <w:p>
      <w:pPr>
        <w:spacing w:after="0" w:line="20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0" w:right="359" w:bottom="1440" w:gutter="0" w:footer="0" w:header="0"/>
        </w:sectPr>
      </w:pPr>
    </w:p>
    <w:bookmarkStart w:id="7" w:name="page8"/>
    <w:bookmarkEnd w:id="7"/>
    <w:p>
      <w:pPr>
        <w:ind w:left="652" w:hanging="652"/>
        <w:spacing w:after="0" w:line="268" w:lineRule="auto"/>
        <w:tabs>
          <w:tab w:leader="none" w:pos="6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Borrower and Guarantor Certifications</w:t>
      </w:r>
      <w:r>
        <w:rPr>
          <w:rFonts w:ascii="Times New Roman" w:cs="Times New Roman" w:eastAsia="Times New Roman" w:hAnsi="Times New Roman"/>
          <w:sz w:val="18"/>
          <w:szCs w:val="18"/>
          <w:color w:val="auto"/>
        </w:rPr>
        <w:t>. By its execution of this Agreement, the undersigned, each an officer of the Borrower and Guarantor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whom they are a signatory, party hereto, to the best of his or her knowledge, hereby certifies, solely in his or her capacity as an officer of the Borrower and/or such Guarantor that (the “</w:t>
      </w:r>
      <w:r>
        <w:rPr>
          <w:rFonts w:ascii="Times New Roman" w:cs="Times New Roman" w:eastAsia="Times New Roman" w:hAnsi="Times New Roman"/>
          <w:sz w:val="18"/>
          <w:szCs w:val="18"/>
          <w:u w:val="single" w:color="auto"/>
          <w:color w:val="auto"/>
        </w:rPr>
        <w:t>Borrower and Guarantor Certifications</w:t>
      </w:r>
      <w:r>
        <w:rPr>
          <w:rFonts w:ascii="Times New Roman" w:cs="Times New Roman" w:eastAsia="Times New Roman" w:hAnsi="Times New Roman"/>
          <w:sz w:val="18"/>
          <w:szCs w:val="18"/>
          <w:color w:val="auto"/>
        </w:rPr>
        <w:t>”):</w:t>
      </w:r>
    </w:p>
    <w:p>
      <w:pPr>
        <w:spacing w:after="0" w:line="174" w:lineRule="exact"/>
        <w:rPr>
          <w:rFonts w:ascii="Times New Roman" w:cs="Times New Roman" w:eastAsia="Times New Roman" w:hAnsi="Times New Roman"/>
          <w:sz w:val="18"/>
          <w:szCs w:val="18"/>
          <w:color w:val="auto"/>
        </w:rPr>
      </w:pPr>
    </w:p>
    <w:p>
      <w:pPr>
        <w:ind w:left="1292" w:right="40" w:hanging="644"/>
        <w:spacing w:after="0" w:line="282" w:lineRule="auto"/>
        <w:tabs>
          <w:tab w:leader="none" w:pos="129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exists on the date hereof before or after giving effect to the New Term Loan Commitments, the borrowing of the New Term Loans contemplated hereby and the intended use of proceeds therefrom;</w:t>
      </w:r>
    </w:p>
    <w:p>
      <w:pPr>
        <w:spacing w:after="0" w:line="161" w:lineRule="exact"/>
        <w:rPr>
          <w:rFonts w:ascii="Times New Roman" w:cs="Times New Roman" w:eastAsia="Times New Roman" w:hAnsi="Times New Roman"/>
          <w:sz w:val="18"/>
          <w:szCs w:val="18"/>
          <w:color w:val="auto"/>
        </w:rPr>
      </w:pPr>
    </w:p>
    <w:p>
      <w:pPr>
        <w:ind w:left="1292" w:right="80" w:hanging="644"/>
        <w:spacing w:after="0" w:line="255" w:lineRule="auto"/>
        <w:tabs>
          <w:tab w:leader="none" w:pos="129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made by each Credit Party contained in the Credit Agreement and in the other Credit Documents are true and correct in all material respects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representations and warranties which are qualified by materiality, material adverse effect or similar language shall be true and correct in all respects) on and as of the date hereof with the same effect as though such representations and warranties had been made on and as of the date hereof, except where such representations and warranties expressly relate to an earlier date, in which case such representations and warranties were true and correct in all material respects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representations and warranties which are qualified by materiality, material adverse effect or similar language shall be true and correct in all respects) as of such earlier date; and</w:t>
      </w:r>
    </w:p>
    <w:p>
      <w:pPr>
        <w:spacing w:after="0" w:line="188" w:lineRule="exact"/>
        <w:rPr>
          <w:rFonts w:ascii="Times New Roman" w:cs="Times New Roman" w:eastAsia="Times New Roman" w:hAnsi="Times New Roman"/>
          <w:sz w:val="18"/>
          <w:szCs w:val="18"/>
          <w:color w:val="auto"/>
        </w:rPr>
      </w:pPr>
    </w:p>
    <w:p>
      <w:pPr>
        <w:ind w:left="1292" w:right="400" w:hanging="644"/>
        <w:spacing w:after="0" w:line="282" w:lineRule="auto"/>
        <w:tabs>
          <w:tab w:leader="none" w:pos="129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use the proceeds of the New Term Loans, together with cash from the balance sheet and amounts drawn under the Revolving Credit Facility, to effect the transactions contemplated by the fifth recital to this Agreement.</w:t>
      </w:r>
    </w:p>
    <w:p>
      <w:pPr>
        <w:spacing w:after="0" w:line="157" w:lineRule="exact"/>
        <w:rPr>
          <w:rFonts w:ascii="Times New Roman" w:cs="Times New Roman" w:eastAsia="Times New Roman" w:hAnsi="Times New Roman"/>
          <w:sz w:val="18"/>
          <w:szCs w:val="18"/>
          <w:color w:val="auto"/>
        </w:rPr>
      </w:pPr>
    </w:p>
    <w:p>
      <w:pPr>
        <w:ind w:left="652" w:right="280" w:hanging="652"/>
        <w:spacing w:after="0" w:line="286" w:lineRule="auto"/>
        <w:tabs>
          <w:tab w:leader="none" w:pos="6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Funding Date Conditions</w:t>
      </w:r>
      <w:r>
        <w:rPr>
          <w:rFonts w:ascii="Times New Roman" w:cs="Times New Roman" w:eastAsia="Times New Roman" w:hAnsi="Times New Roman"/>
          <w:sz w:val="18"/>
          <w:szCs w:val="18"/>
          <w:color w:val="auto"/>
        </w:rPr>
        <w:t>. This Agreement will become effective on the date (the “</w:t>
      </w:r>
      <w:r>
        <w:rPr>
          <w:rFonts w:ascii="Times New Roman" w:cs="Times New Roman" w:eastAsia="Times New Roman" w:hAnsi="Times New Roman"/>
          <w:sz w:val="18"/>
          <w:szCs w:val="18"/>
          <w:u w:val="single" w:color="auto"/>
          <w:color w:val="auto"/>
        </w:rPr>
        <w:t>Funding Date</w:t>
      </w:r>
      <w:r>
        <w:rPr>
          <w:rFonts w:ascii="Times New Roman" w:cs="Times New Roman" w:eastAsia="Times New Roman" w:hAnsi="Times New Roman"/>
          <w:sz w:val="18"/>
          <w:szCs w:val="18"/>
          <w:color w:val="auto"/>
        </w:rPr>
        <w:t>”) on which each of the following conditions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Funding Date Conditions</w:t>
      </w:r>
      <w:r>
        <w:rPr>
          <w:rFonts w:ascii="Times New Roman" w:cs="Times New Roman" w:eastAsia="Times New Roman" w:hAnsi="Times New Roman"/>
          <w:sz w:val="18"/>
          <w:szCs w:val="18"/>
          <w:color w:val="auto"/>
        </w:rPr>
        <w:t>”) is satisfied:</w:t>
      </w:r>
    </w:p>
    <w:p>
      <w:pPr>
        <w:spacing w:after="0" w:line="158"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from the Borrower and each Guarantor a counterpart of this Agreement signed on behalf of such party;</w:t>
      </w:r>
    </w:p>
    <w:p>
      <w:pPr>
        <w:spacing w:after="0" w:line="37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0" w:right="359" w:bottom="1440" w:gutter="0" w:footer="0" w:header="0"/>
        </w:sectPr>
      </w:pPr>
    </w:p>
    <w:bookmarkStart w:id="8" w:name="page9"/>
    <w:bookmarkEnd w:id="8"/>
    <w:p>
      <w:pPr>
        <w:ind w:left="644" w:right="140" w:hanging="644"/>
        <w:spacing w:after="0" w:line="261" w:lineRule="auto"/>
        <w:tabs>
          <w:tab w:leader="none" w:pos="6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 the New Term Loan Lenders shall have received the executed legal opinion, in customary form, of (i) Simpson Thacher &amp; Bartlett LLP, special New York counsel to the Credit Parties and (ii) Kilpatrick Townsend &amp; Stockton LLP, special Georgia counsel to the Credit Parties. The Borrower, the other Credit Parties and the Administrative Agent hereby instruct such counsel to deliver such legal opinion;</w:t>
      </w:r>
    </w:p>
    <w:p>
      <w:pPr>
        <w:spacing w:after="0" w:line="179" w:lineRule="exact"/>
        <w:rPr>
          <w:rFonts w:ascii="Times New Roman" w:cs="Times New Roman" w:eastAsia="Times New Roman" w:hAnsi="Times New Roman"/>
          <w:sz w:val="18"/>
          <w:szCs w:val="18"/>
          <w:color w:val="auto"/>
        </w:rPr>
      </w:pPr>
    </w:p>
    <w:p>
      <w:pPr>
        <w:ind w:left="644" w:right="80" w:hanging="644"/>
        <w:spacing w:after="0" w:line="262" w:lineRule="auto"/>
        <w:tabs>
          <w:tab w:leader="none" w:pos="6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paid (i) Bank of America, N.A. (or its designated affiliate), as sole lead arranger and bookrunner (the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xml:space="preserve">”) the fees in the amounts previously agreed in writing to be received on the Funding Date, (ii) the Agent and the Administrative Agent all reasonable costs and expenses (including, without limitation the reasonable fees, charges and disbursements of Cahill Gordon &amp; Reindel </w:t>
      </w:r>
      <w:r>
        <w:rPr>
          <w:rFonts w:ascii="Times New Roman" w:cs="Times New Roman" w:eastAsia="Times New Roman" w:hAnsi="Times New Roman"/>
          <w:sz w:val="12"/>
          <w:szCs w:val="12"/>
          <w:color w:val="auto"/>
        </w:rPr>
        <w:t>llp</w:t>
      </w:r>
      <w:r>
        <w:rPr>
          <w:rFonts w:ascii="Times New Roman" w:cs="Times New Roman" w:eastAsia="Times New Roman" w:hAnsi="Times New Roman"/>
          <w:sz w:val="17"/>
          <w:szCs w:val="17"/>
          <w:color w:val="auto"/>
        </w:rPr>
        <w:t>, counsel for the Agent and the Administrative Agent) of the Agent and the Administrative Agent for which invoices have been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7"/>
          <w:szCs w:val="17"/>
          <w:color w:val="auto"/>
        </w:rPr>
        <w:t>presented prior to the Funding Date and (iii) the Upfront Fees to the New Term Loan Lenders;</w:t>
      </w:r>
    </w:p>
    <w:p>
      <w:pPr>
        <w:spacing w:after="0" w:line="178" w:lineRule="exact"/>
        <w:rPr>
          <w:rFonts w:ascii="Times New Roman" w:cs="Times New Roman" w:eastAsia="Times New Roman" w:hAnsi="Times New Roman"/>
          <w:sz w:val="18"/>
          <w:szCs w:val="18"/>
          <w:color w:val="auto"/>
        </w:rPr>
      </w:pPr>
    </w:p>
    <w:p>
      <w:pPr>
        <w:ind w:left="644" w:hanging="644"/>
        <w:spacing w:after="0" w:line="252" w:lineRule="auto"/>
        <w:tabs>
          <w:tab w:leader="none" w:pos="6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have received good standing certificates (to the extent such concept exists) from the applicable governmental authority of each Credit Party’s jurisdiction of incorporation, organization or formation and (I) (A) a certificate of the Credit Parties, dated the Funding Date, substantially in the form of Exhibit E to the Credit Agreement, with appropriate insertions, of each Credit Party, executed by the President or any Vice President and the Secretary or any Assistant Secretary of each Credit Party, and attaching the documents referred to in the following clause (B) and (B) (x) a copy of the resolutions, in form and substance satisfactory to the Administrative Agent, of the board of directors or other managers of each Credit Party (or a duly authorized committee thereof) authorizing (i) the execution, delivery and performance of each Credit Document (and any agreements relating thereto) to which it is a party and (ii) in the case of the Borrower, the extensions of credit contemplated hereunder, (y) the Certificate of Incorporation and By-Laws, Certificate of Formation and Operating Agreement or other comparable organizational documents, as applicable, of each Credit Party and (z) signature and incumbency certificates (or other comparable documents evidencing the same) of the Authorized Officers of each Credit Party executing the Credit Documents to which it is a party or (II) a certificate of Holdings on behalf of each Credit Party, dated the Funding Date and executed by an Authorized Officer of Holdings, certifying that, except as otherwise indicated therein, there have been no amendments, supplements or modifications since the Closing Date to the documents delivered on the Closing Date pursuant to </w:t>
      </w:r>
      <w:r>
        <w:rPr>
          <w:rFonts w:ascii="Times New Roman" w:cs="Times New Roman" w:eastAsia="Times New Roman" w:hAnsi="Times New Roman"/>
          <w:sz w:val="18"/>
          <w:szCs w:val="18"/>
          <w:u w:val="single" w:color="auto"/>
          <w:color w:val="auto"/>
        </w:rPr>
        <w:t>Sections 6.4(x)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6.5</w:t>
      </w:r>
      <w:r>
        <w:rPr>
          <w:rFonts w:ascii="Times New Roman" w:cs="Times New Roman" w:eastAsia="Times New Roman" w:hAnsi="Times New Roman"/>
          <w:sz w:val="18"/>
          <w:szCs w:val="18"/>
          <w:color w:val="auto"/>
        </w:rPr>
        <w:t xml:space="preserve"> of the Credit Agreement;</w:t>
      </w:r>
    </w:p>
    <w:p>
      <w:pPr>
        <w:spacing w:after="0" w:line="197" w:lineRule="exact"/>
        <w:rPr>
          <w:rFonts w:ascii="Times New Roman" w:cs="Times New Roman" w:eastAsia="Times New Roman" w:hAnsi="Times New Roman"/>
          <w:sz w:val="18"/>
          <w:szCs w:val="18"/>
          <w:color w:val="auto"/>
        </w:rPr>
      </w:pPr>
    </w:p>
    <w:p>
      <w:pPr>
        <w:ind w:left="644" w:right="200" w:hanging="644"/>
        <w:spacing w:after="0" w:line="266" w:lineRule="auto"/>
        <w:tabs>
          <w:tab w:leader="none" w:pos="6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 certificate from the Chief Executive Officer, President, the Chief Financial Officer, the Treasurer, the Vice President-Finance, a Director, a Manager or any other senior financial officer of Holdings to the effect that after giving effect to the funding of the New Term Loans, Holdings on a consolidated basis with its Restricted Subsidiaries is Solvent;</w:t>
      </w:r>
    </w:p>
    <w:p>
      <w:pPr>
        <w:spacing w:after="0" w:line="392"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4"/>
          </w:cols>
          <w:pgMar w:left="976" w:top="904" w:right="359" w:bottom="1440" w:gutter="0" w:footer="0" w:header="0"/>
        </w:sectPr>
      </w:pPr>
    </w:p>
    <w:bookmarkStart w:id="9" w:name="page10"/>
    <w:bookmarkEnd w:id="9"/>
    <w:p>
      <w:pPr>
        <w:ind w:left="1292" w:right="240" w:hanging="644"/>
        <w:spacing w:after="0" w:line="282" w:lineRule="auto"/>
        <w:tabs>
          <w:tab w:leader="none" w:pos="129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have previously delivered to the Administrative Agent a Notice of Borrowing in accordance with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of the Credit Agreement;</w:t>
      </w:r>
    </w:p>
    <w:p>
      <w:pPr>
        <w:spacing w:after="0" w:line="161"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Guarantor Certifications are true and correct; and</w:t>
      </w:r>
    </w:p>
    <w:p>
      <w:pPr>
        <w:spacing w:after="0" w:line="225" w:lineRule="exact"/>
        <w:rPr>
          <w:rFonts w:ascii="Times New Roman" w:cs="Times New Roman" w:eastAsia="Times New Roman" w:hAnsi="Times New Roman"/>
          <w:sz w:val="18"/>
          <w:szCs w:val="18"/>
          <w:color w:val="auto"/>
        </w:rPr>
      </w:pPr>
    </w:p>
    <w:p>
      <w:pPr>
        <w:ind w:left="1292" w:right="200" w:hanging="644"/>
        <w:spacing w:after="0" w:line="266" w:lineRule="auto"/>
        <w:tabs>
          <w:tab w:leader="none" w:pos="129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three days prior to the date hereof, the Borrower shall have provided to any requesting Lender, who has made a request at least ten days prior to the date hereof, the documentation and other information so requested in connection with applicable “know your customer” and anti-money-laundering rules and regulations, including the PATRIOT Act.</w:t>
      </w:r>
    </w:p>
    <w:p>
      <w:pPr>
        <w:spacing w:after="0" w:line="171" w:lineRule="exact"/>
        <w:rPr>
          <w:rFonts w:ascii="Times New Roman" w:cs="Times New Roman" w:eastAsia="Times New Roman" w:hAnsi="Times New Roman"/>
          <w:sz w:val="18"/>
          <w:szCs w:val="18"/>
          <w:color w:val="auto"/>
        </w:rPr>
      </w:pPr>
    </w:p>
    <w:p>
      <w:pPr>
        <w:ind w:left="652" w:right="300" w:hanging="652"/>
        <w:spacing w:after="0" w:line="286" w:lineRule="auto"/>
        <w:tabs>
          <w:tab w:leader="none" w:pos="6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Notice. </w:t>
      </w:r>
      <w:r>
        <w:rPr>
          <w:rFonts w:ascii="Times New Roman" w:cs="Times New Roman" w:eastAsia="Times New Roman" w:hAnsi="Times New Roman"/>
          <w:sz w:val="18"/>
          <w:szCs w:val="18"/>
          <w:color w:val="auto"/>
        </w:rPr>
        <w:t>For purposes of the Credit Agreement, the initial notice address of each New Term Loan Lender shall be as separately identified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Administrative Agent.</w:t>
      </w:r>
    </w:p>
    <w:p>
      <w:pPr>
        <w:spacing w:after="0" w:line="154" w:lineRule="exact"/>
        <w:rPr>
          <w:rFonts w:ascii="Times New Roman" w:cs="Times New Roman" w:eastAsia="Times New Roman" w:hAnsi="Times New Roman"/>
          <w:sz w:val="18"/>
          <w:szCs w:val="18"/>
          <w:color w:val="auto"/>
        </w:rPr>
      </w:pPr>
    </w:p>
    <w:p>
      <w:pPr>
        <w:ind w:left="652" w:right="200" w:hanging="652"/>
        <w:spacing w:after="0" w:line="268" w:lineRule="auto"/>
        <w:tabs>
          <w:tab w:leader="none" w:pos="6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Tax Forms. </w:t>
      </w:r>
      <w:r>
        <w:rPr>
          <w:rFonts w:ascii="Times New Roman" w:cs="Times New Roman" w:eastAsia="Times New Roman" w:hAnsi="Times New Roman"/>
          <w:sz w:val="18"/>
          <w:szCs w:val="18"/>
          <w:color w:val="auto"/>
        </w:rPr>
        <w:t>For each relevant New Term Loan Lender, delivered herewith to the Administrative Agent are such forms, certificates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evidence with respect to United States federal income tax withholding matters as such New Term Loan Lender may be required to deliver to the Administrative Agent pursuant to Section 5.4(d) and/or Section 5.4(e) of the Credit Agreement.</w:t>
      </w:r>
    </w:p>
    <w:p>
      <w:pPr>
        <w:spacing w:after="0" w:line="170" w:lineRule="exact"/>
        <w:rPr>
          <w:rFonts w:ascii="Times New Roman" w:cs="Times New Roman" w:eastAsia="Times New Roman" w:hAnsi="Times New Roman"/>
          <w:sz w:val="18"/>
          <w:szCs w:val="18"/>
          <w:color w:val="auto"/>
        </w:rPr>
      </w:pPr>
    </w:p>
    <w:p>
      <w:pPr>
        <w:ind w:left="652" w:right="320" w:hanging="652"/>
        <w:spacing w:after="0" w:line="286" w:lineRule="auto"/>
        <w:tabs>
          <w:tab w:leader="none" w:pos="6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Recordation of the New Loans. </w:t>
      </w:r>
      <w:r>
        <w:rPr>
          <w:rFonts w:ascii="Times New Roman" w:cs="Times New Roman" w:eastAsia="Times New Roman" w:hAnsi="Times New Roman"/>
          <w:sz w:val="18"/>
          <w:szCs w:val="18"/>
          <w:color w:val="auto"/>
        </w:rPr>
        <w:t>Upon execution and delivery hereof, the Administrative Agent will record the New Term Loans made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Term Loan Lenders in the Register.</w:t>
      </w:r>
    </w:p>
    <w:p>
      <w:pPr>
        <w:spacing w:after="0" w:line="154" w:lineRule="exact"/>
        <w:rPr>
          <w:rFonts w:ascii="Times New Roman" w:cs="Times New Roman" w:eastAsia="Times New Roman" w:hAnsi="Times New Roman"/>
          <w:sz w:val="18"/>
          <w:szCs w:val="18"/>
          <w:color w:val="auto"/>
        </w:rPr>
      </w:pPr>
    </w:p>
    <w:p>
      <w:pPr>
        <w:ind w:left="652" w:right="280" w:hanging="652"/>
        <w:spacing w:after="0" w:line="286" w:lineRule="auto"/>
        <w:tabs>
          <w:tab w:leader="none" w:pos="6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Amendment, Modification and Waiver. </w:t>
      </w:r>
      <w:r>
        <w:rPr>
          <w:rFonts w:ascii="Times New Roman" w:cs="Times New Roman" w:eastAsia="Times New Roman" w:hAnsi="Times New Roman"/>
          <w:sz w:val="18"/>
          <w:szCs w:val="18"/>
          <w:color w:val="auto"/>
        </w:rPr>
        <w:t>This Agreement may not be amended, modified or waived except by an instrument or instruments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signed and delivered on behalf of each of the parties hereto.</w:t>
      </w:r>
    </w:p>
    <w:p>
      <w:pPr>
        <w:spacing w:after="0" w:line="154" w:lineRule="exact"/>
        <w:rPr>
          <w:rFonts w:ascii="Times New Roman" w:cs="Times New Roman" w:eastAsia="Times New Roman" w:hAnsi="Times New Roman"/>
          <w:sz w:val="18"/>
          <w:szCs w:val="18"/>
          <w:color w:val="auto"/>
        </w:rPr>
      </w:pPr>
    </w:p>
    <w:p>
      <w:pPr>
        <w:ind w:left="652" w:hanging="652"/>
        <w:spacing w:after="0" w:line="268" w:lineRule="auto"/>
        <w:tabs>
          <w:tab w:leader="none" w:pos="6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Entire Agreement. </w:t>
      </w:r>
      <w:r>
        <w:rPr>
          <w:rFonts w:ascii="Times New Roman" w:cs="Times New Roman" w:eastAsia="Times New Roman" w:hAnsi="Times New Roman"/>
          <w:sz w:val="18"/>
          <w:szCs w:val="18"/>
          <w:color w:val="auto"/>
        </w:rPr>
        <w:t>This Agreement, the Credit Agreement and the other Credit Documents constitute the entire agreement among the parties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the subject matter hereof and thereof and supersede all other prior agreements and understandings, both written and verbal, among the parties or any of them with respect to the subject matter hereof.</w:t>
      </w:r>
    </w:p>
    <w:p>
      <w:pPr>
        <w:spacing w:after="0" w:line="170"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GOVERNING LAW; SUBMISSION TO JURISDICTION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THIS AGREEMENT AND THE RIGHTS AND OBLIGATIONS OF THE</w:t>
      </w:r>
    </w:p>
    <w:p>
      <w:pPr>
        <w:spacing w:after="0" w:line="31" w:lineRule="exact"/>
        <w:rPr>
          <w:rFonts w:ascii="Times New Roman" w:cs="Times New Roman" w:eastAsia="Times New Roman" w:hAnsi="Times New Roman"/>
          <w:sz w:val="18"/>
          <w:szCs w:val="18"/>
          <w:color w:val="auto"/>
        </w:rPr>
      </w:pPr>
    </w:p>
    <w:p>
      <w:pPr>
        <w:ind w:left="652" w:right="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PARTIES HEREUNDER SHALL BE GOVERNED BY, AND SHALL BE CONSTRUED AND ENFORCED IN ACCORDANCE WITH THE LAWS OF THE STATE OF NEW YORK. </w:t>
      </w:r>
      <w:r>
        <w:rPr>
          <w:rFonts w:ascii="Times New Roman" w:cs="Times New Roman" w:eastAsia="Times New Roman" w:hAnsi="Times New Roman"/>
          <w:sz w:val="18"/>
          <w:szCs w:val="18"/>
          <w:b w:val="1"/>
          <w:bCs w:val="1"/>
          <w:u w:val="single" w:color="auto"/>
          <w:color w:val="auto"/>
        </w:rPr>
        <w:t>SECTION 13.13</w:t>
      </w:r>
      <w:r>
        <w:rPr>
          <w:rFonts w:ascii="Times New Roman" w:cs="Times New Roman" w:eastAsia="Times New Roman" w:hAnsi="Times New Roman"/>
          <w:sz w:val="18"/>
          <w:szCs w:val="18"/>
          <w:b w:val="1"/>
          <w:bCs w:val="1"/>
          <w:color w:val="auto"/>
        </w:rPr>
        <w:t xml:space="preserve"> OF THE CREDIT AGREEMENT IS HEREBY INCORPORATED INTO THIS AGREEMENT </w:t>
      </w:r>
      <w:r>
        <w:rPr>
          <w:rFonts w:ascii="Times New Roman" w:cs="Times New Roman" w:eastAsia="Times New Roman" w:hAnsi="Times New Roman"/>
          <w:sz w:val="18"/>
          <w:szCs w:val="18"/>
          <w:b w:val="1"/>
          <w:bCs w:val="1"/>
          <w:i w:val="1"/>
          <w:iCs w:val="1"/>
          <w:color w:val="auto"/>
        </w:rPr>
        <w:t>MUTATIS MUTANDIS</w:t>
      </w:r>
      <w:r>
        <w:rPr>
          <w:rFonts w:ascii="Times New Roman" w:cs="Times New Roman" w:eastAsia="Times New Roman" w:hAnsi="Times New Roman"/>
          <w:sz w:val="18"/>
          <w:szCs w:val="18"/>
          <w:b w:val="1"/>
          <w:bCs w:val="1"/>
          <w:color w:val="auto"/>
        </w:rPr>
        <w:t>.</w:t>
      </w:r>
    </w:p>
    <w:p>
      <w:pPr>
        <w:spacing w:after="0" w:line="181" w:lineRule="exact"/>
        <w:rPr>
          <w:rFonts w:ascii="Times New Roman" w:cs="Times New Roman" w:eastAsia="Times New Roman" w:hAnsi="Times New Roman"/>
          <w:sz w:val="18"/>
          <w:szCs w:val="18"/>
          <w:color w:val="auto"/>
        </w:rPr>
      </w:pPr>
    </w:p>
    <w:p>
      <w:pPr>
        <w:ind w:left="652" w:right="220" w:hanging="652"/>
        <w:spacing w:after="0" w:line="262" w:lineRule="auto"/>
        <w:tabs>
          <w:tab w:leader="none" w:pos="6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Any term or provision of this Agreement which is invalid or unenforceable in any jurisdiction shall, as to that jurisdiction,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If any provision of this Agreement is so broad as to be unenforceable, the provision shall be interpreted to be only so broad as would be enforceable.</w:t>
      </w:r>
    </w:p>
    <w:p>
      <w:pPr>
        <w:spacing w:after="0" w:line="39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4" w:right="359" w:bottom="1440" w:gutter="0" w:footer="0" w:header="0"/>
        </w:sectPr>
      </w:pPr>
    </w:p>
    <w:bookmarkStart w:id="10" w:name="page11"/>
    <w:bookmarkEnd w:id="10"/>
    <w:p>
      <w:pPr>
        <w:ind w:left="652" w:right="40" w:hanging="652"/>
        <w:spacing w:after="0" w:line="253" w:lineRule="auto"/>
        <w:tabs>
          <w:tab w:leader="none" w:pos="6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This Agreement may be executed in counterparts (including by facsimile or other electronic transmission), each of which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to be an original, but all of which shall constitute one and the same agreement. This Agreement may, if agreed by the Administrative Agent, be in the form of an Electronic Record and may be executed using Electronic Signatures (including, without limitation, facsimile and .pdf) and shall be considered an original, and shall have the same legal effect, validity and enforceability as a paper record. For the avoidance of doubt, the authorization under this paragraph may include, without limitation, use or acceptance by the Administrative Agent of a manually signed paper Communication which has been converted into electronic form (such as scanned into PDF format), or an electronically signed Communication converted into another format, for transmission, delivery and/or retention. Notwithstanding anything contained herein to the contrary, the Administrative Agent is under no obligation to accept an Electronic Signature in any form or in any format unless expressly agreed to by the Administrative Agent pursuant to procedures approved by it; provided, further, without limiting the foregoing, (a) to the extent the Administrative Agent has agreed to accept such Electronic Signature, the Administrative Agent shall be entitled to rely on any such Electronic Signature without further verification and (b) upon the request of the Administrative Agent any Electronic Signature shall be promptly followed by a manually executed, original counterpart. For purposes hereof, “</w:t>
      </w:r>
      <w:r>
        <w:rPr>
          <w:rFonts w:ascii="Times New Roman" w:cs="Times New Roman" w:eastAsia="Times New Roman" w:hAnsi="Times New Roman"/>
          <w:sz w:val="18"/>
          <w:szCs w:val="18"/>
          <w:u w:val="single" w:color="auto"/>
          <w:color w:val="auto"/>
        </w:rPr>
        <w:t>Electronic Record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shall have the meanings assigned to them, respectively, by 15 USC §7006, as it may be amended from time to time.</w:t>
      </w:r>
    </w:p>
    <w:p>
      <w:pPr>
        <w:spacing w:after="0" w:line="187" w:lineRule="exact"/>
        <w:rPr>
          <w:rFonts w:ascii="Times New Roman" w:cs="Times New Roman" w:eastAsia="Times New Roman" w:hAnsi="Times New Roman"/>
          <w:sz w:val="18"/>
          <w:szCs w:val="18"/>
          <w:color w:val="auto"/>
        </w:rPr>
      </w:pPr>
    </w:p>
    <w:p>
      <w:pPr>
        <w:ind w:left="652" w:right="140" w:hanging="652"/>
        <w:spacing w:after="0" w:line="268" w:lineRule="auto"/>
        <w:tabs>
          <w:tab w:leader="none" w:pos="6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WAIVER OF JURY TRIAL</w:t>
      </w:r>
      <w:r>
        <w:rPr>
          <w:rFonts w:ascii="Times New Roman" w:cs="Times New Roman" w:eastAsia="Times New Roman" w:hAnsi="Times New Roman"/>
          <w:sz w:val="18"/>
          <w:szCs w:val="18"/>
          <w:color w:val="auto"/>
        </w:rPr>
        <w:t>. EACH OF THE PARTIES HERETO IRREVOCABLY WAIVES THE RIGHT TO TRIAL BY JURY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ACTION, PROCEEDING, CLAIM OR COUNTERCLAIM BROUGHT BY OR ON BEHALF OF ANY PARTY RELATED TO OR ARISING OUT OF THIS AGREEMENT LETTER OR THE PERFORMANCE OF SERVICES HEREUNDER.</w:t>
      </w:r>
    </w:p>
    <w:p>
      <w:pPr>
        <w:spacing w:after="0" w:line="170" w:lineRule="exact"/>
        <w:rPr>
          <w:rFonts w:ascii="Times New Roman" w:cs="Times New Roman" w:eastAsia="Times New Roman" w:hAnsi="Times New Roman"/>
          <w:sz w:val="18"/>
          <w:szCs w:val="18"/>
          <w:color w:val="auto"/>
        </w:rPr>
      </w:pPr>
    </w:p>
    <w:p>
      <w:pPr>
        <w:ind w:left="652" w:right="80" w:hanging="652"/>
        <w:spacing w:after="0" w:line="268" w:lineRule="auto"/>
        <w:tabs>
          <w:tab w:leader="none" w:pos="6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Credit Document</w:t>
      </w:r>
      <w:r>
        <w:rPr>
          <w:rFonts w:ascii="Times New Roman" w:cs="Times New Roman" w:eastAsia="Times New Roman" w:hAnsi="Times New Roman"/>
          <w:sz w:val="18"/>
          <w:szCs w:val="18"/>
          <w:color w:val="auto"/>
        </w:rPr>
        <w:t>. On and after the Funding Date, this Agreement shall constitute a “Credit Document” for all purposes of the Credit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other Credit Documents (it being understood that, for the avoidance of doubt, this Agreement may be amended or waived solely by the parties hereto as set forth herein).</w:t>
      </w:r>
    </w:p>
    <w:p>
      <w:pPr>
        <w:spacing w:after="0" w:line="170" w:lineRule="exact"/>
        <w:rPr>
          <w:rFonts w:ascii="Times New Roman" w:cs="Times New Roman" w:eastAsia="Times New Roman" w:hAnsi="Times New Roman"/>
          <w:sz w:val="18"/>
          <w:szCs w:val="18"/>
          <w:color w:val="auto"/>
        </w:rPr>
      </w:pPr>
    </w:p>
    <w:p>
      <w:pPr>
        <w:ind w:left="652" w:hanging="652"/>
        <w:spacing w:after="0" w:line="254" w:lineRule="auto"/>
        <w:tabs>
          <w:tab w:leader="none" w:pos="6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Reaffirmation</w:t>
      </w:r>
      <w:r>
        <w:rPr>
          <w:rFonts w:ascii="Times New Roman" w:cs="Times New Roman" w:eastAsia="Times New Roman" w:hAnsi="Times New Roman"/>
          <w:sz w:val="18"/>
          <w:szCs w:val="18"/>
          <w:color w:val="auto"/>
        </w:rPr>
        <w:t>. Each Credit Party hereby expressly acknowledges the terms of this Joinder Agreement and reaffirms, as of the date hereof, (i)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covenants, guarantees, pledges, grants of Liens and agreements or other commitments contained in each Credit Document to which it is a party, including, in each case, such covenants, guarantees, pledges, grants of Liens and agreements or other commitments as in effect immediately after giving effect to this Joinder Agreement and the transactions contemplated hereby, (ii) its guarantee of the Obligations (including, without limitation, the Term A Loans (including the New Term Loans)) under each Guarantee, as applicable, (iii) its grant of Liens on the Collateral to secure the Obligations (including, without limitation, the Obligations with respect to the Term A Loans (including the New Term Loans)) pursuant to the Security Documents, and (iv) agrees that (A) each Credit Document to which it is a party shall continue to be in full force and effect and (B) all guarantees, pledges, grants of Liens, covenants, agreements and other commitments by such Credit Party under the Credit Documents shall continue to be in full force and effect and shall accrue to the benefit of the Secured Parties and shall not be affected, impaired or discharged hereby or by the transactions contemplated in this Joinder Agreement.</w:t>
      </w:r>
    </w:p>
    <w:p>
      <w:pPr>
        <w:spacing w:after="0" w:line="200" w:lineRule="exact"/>
        <w:rPr>
          <w:sz w:val="20"/>
          <w:szCs w:val="20"/>
          <w:color w:val="auto"/>
        </w:rPr>
      </w:pPr>
    </w:p>
    <w:p>
      <w:pPr>
        <w:spacing w:after="0" w:line="20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12"/>
          </w:cols>
          <w:pgMar w:left="328" w:top="900" w:right="359" w:bottom="1440" w:gutter="0" w:footer="0" w:header="0"/>
        </w:sectPr>
      </w:pPr>
    </w:p>
    <w:bookmarkStart w:id="11" w:name="page12"/>
    <w:bookmarkEnd w:id="11"/>
    <w:p>
      <w:pPr>
        <w:ind w:left="652" w:hanging="652"/>
        <w:spacing w:after="0" w:line="254" w:lineRule="auto"/>
        <w:tabs>
          <w:tab w:leader="none" w:pos="6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Effect of Joinder Agreement</w:t>
      </w:r>
      <w:r>
        <w:rPr>
          <w:rFonts w:ascii="Times New Roman" w:cs="Times New Roman" w:eastAsia="Times New Roman" w:hAnsi="Times New Roman"/>
          <w:sz w:val="18"/>
          <w:szCs w:val="18"/>
          <w:color w:val="auto"/>
        </w:rPr>
        <w:t>. Except as expressly set forth herein, this Agreement shall not by implication or otherwise limit, impair, constitute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waiver of, or otherwise affect the rights and remedies of, the Lenders or the Administrative Agent under the Credit Agreement or any other Credit Document, and shall not alter, modify, amend or in any way affect any of the terms, conditions, obligations, covenants or agreements contained in the Credit Agreement or any other Credit Document, all of which are ratified and affirmed in all respects and shall continue in full force and effect. The parties hereto acknowledge and agree that the amendment of the Credit Agreement pursuant to this Agreement and all other Credit Documents amended and/or executed and delivered in connection herewith shall not constitute a novation of the Credit Agreement and the other Credit Documents as in effect prior to the date hereof. Nothing herein shall be deemed to establish a precedent for purposes of interpreting the provisions of the Credit Agreement or entitle any Credit Party to a consent to, or a waiver, amendment, modification or other change of, any of the terms, conditions, obligations, covenants or agreements contained in the Credit Agreement or any other Credit Document in similar or different circumstances. This Agreement shall apply to and be effective only with respect to the provisions of the Credit Agreement and the other Credit Documents specifically referred to herein.</w:t>
      </w:r>
    </w:p>
    <w:p>
      <w:pPr>
        <w:spacing w:after="0" w:line="186"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[signature pages to follow]</w:t>
      </w:r>
    </w:p>
    <w:p>
      <w:pPr>
        <w:spacing w:after="0" w:line="200" w:lineRule="exact"/>
        <w:rPr>
          <w:sz w:val="20"/>
          <w:szCs w:val="20"/>
          <w:color w:val="auto"/>
        </w:rPr>
      </w:pPr>
    </w:p>
    <w:p>
      <w:pPr>
        <w:spacing w:after="0" w:line="241"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0" w:right="359" w:bottom="1440" w:gutter="0" w:footer="0" w:header="0"/>
        </w:sectPr>
      </w:pPr>
    </w:p>
    <w:bookmarkStart w:id="12" w:name="page13"/>
    <w:bookmarkEnd w:id="12"/>
    <w:p>
      <w:pPr>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each of the undersigned has caused its duly authorized officer to execute and deliver this Joinder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the date first set forth above.</w:t>
      </w:r>
    </w:p>
    <w:p>
      <w:pPr>
        <w:spacing w:after="0" w:line="1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NAUTILUS ACQUISITION HOLDINGS, INC., as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31889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188970"/>
                    </a:xfrm>
                    <a:prstGeom prst="rect">
                      <a:avLst/>
                    </a:prstGeom>
                    <a:noFill/>
                  </pic:spPr>
                </pic:pic>
              </a:graphicData>
            </a:graphic>
          </wp:anchor>
        </w:drawing>
      </w:r>
    </w:p>
    <w:p>
      <w:pPr>
        <w:spacing w:after="0" w:line="20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Melissa Rasmussen</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Melissa Rasmussen</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NATIONAL VISION, INC., as the Borrower</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Melissa Rasmussen</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Melissa Rasmussen</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ARLINGTON CONTACT LENS SERVICE,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Melissa Rasmussen</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Melissa Rasmussen</w:t>
      </w:r>
    </w:p>
    <w:p>
      <w:pPr>
        <w:spacing w:after="0"/>
        <w:rPr>
          <w:sz w:val="20"/>
          <w:szCs w:val="20"/>
          <w:color w:val="auto"/>
        </w:rPr>
      </w:pPr>
      <w:r>
        <w:rPr>
          <w:sz w:val="1"/>
          <w:szCs w:val="1"/>
          <w:color w:val="auto"/>
        </w:rPr>
        <w:drawing>
          <wp:inline distT="0" distB="0" distL="0" distR="0">
            <wp:extent cx="3780155" cy="12382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780155" cy="123825"/>
                    </a:xfrm>
                    <a:prstGeom prst="rect">
                      <a:avLst/>
                    </a:prstGeom>
                    <a:noFill/>
                    <a:ln>
                      <a:noFill/>
                    </a:ln>
                  </pic:spPr>
                </pic:pic>
              </a:graphicData>
            </a:graphic>
          </wp:inline>
        </w:drawing>
      </w:r>
      <w:r>
        <w:rPr>
          <w:rFonts w:ascii="Times New Roman" w:cs="Times New Roman" w:eastAsia="Times New Roman" w:hAnsi="Times New Roman"/>
          <w:sz w:val="18"/>
          <w:szCs w:val="18"/>
          <w:color w:val="auto"/>
        </w:rPr>
        <w:t>Title: Chief Financial Officer</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NVAL HEALTHCARE SYSTEMS, INC.</w:t>
      </w:r>
    </w:p>
    <w:p>
      <w:pPr>
        <w:spacing w:after="0"/>
        <w:rPr>
          <w:sz w:val="20"/>
          <w:szCs w:val="20"/>
          <w:color w:val="auto"/>
        </w:rPr>
      </w:pPr>
      <w:r>
        <w:rPr>
          <w:sz w:val="1"/>
          <w:szCs w:val="1"/>
          <w:color w:val="auto"/>
        </w:rPr>
        <w:drawing>
          <wp:inline distT="0" distB="0" distL="0" distR="0">
            <wp:extent cx="3574415" cy="25717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74415" cy="257175"/>
                    </a:xfrm>
                    <a:prstGeom prst="rect">
                      <a:avLst/>
                    </a:prstGeom>
                    <a:noFill/>
                    <a:ln>
                      <a:noFill/>
                    </a:ln>
                  </pic:spPr>
                </pic:pic>
              </a:graphicData>
            </a:graphic>
          </wp:inline>
        </w:drawing>
      </w:r>
      <w:r>
        <w:rPr>
          <w:rFonts w:ascii="Times New Roman" w:cs="Times New Roman" w:eastAsia="Times New Roman" w:hAnsi="Times New Roman"/>
          <w:sz w:val="18"/>
          <w:szCs w:val="18"/>
          <w:color w:val="auto"/>
        </w:rPr>
        <w:t>By: /s/ Melissa Rasmussen</w:t>
      </w:r>
    </w:p>
    <w:p>
      <w:pPr>
        <w:spacing w:after="0" w:line="1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Melissa Rasmussen</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Joinder Agreement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459105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ind w:left="5640"/>
        <w:spacing w:after="0"/>
        <w:rPr>
          <w:sz w:val="20"/>
          <w:szCs w:val="20"/>
          <w:color w:val="auto"/>
        </w:rPr>
      </w:pPr>
      <w:r>
        <w:rPr>
          <w:rFonts w:ascii="Times New Roman" w:cs="Times New Roman" w:eastAsia="Times New Roman" w:hAnsi="Times New Roman"/>
          <w:sz w:val="18"/>
          <w:szCs w:val="18"/>
          <w:b w:val="1"/>
          <w:bCs w:val="1"/>
          <w:color w:val="auto"/>
        </w:rPr>
        <w:t xml:space="preserve">BANK OF AMERICA, N.A., </w:t>
      </w:r>
      <w:r>
        <w:rPr>
          <w:rFonts w:ascii="Times New Roman" w:cs="Times New Roman" w:eastAsia="Times New Roman" w:hAnsi="Times New Roman"/>
          <w:sz w:val="18"/>
          <w:szCs w:val="18"/>
          <w:color w:val="auto"/>
        </w:rPr>
        <w:t>as New Term Loan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40201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020185"/>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3574415" cy="25717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74415" cy="257175"/>
                    </a:xfrm>
                    <a:prstGeom prst="rect">
                      <a:avLst/>
                    </a:prstGeom>
                    <a:noFill/>
                    <a:ln>
                      <a:noFill/>
                    </a:ln>
                  </pic:spPr>
                </pic:pic>
              </a:graphicData>
            </a:graphic>
          </wp:inline>
        </w:drawing>
      </w:r>
      <w:r>
        <w:rPr>
          <w:rFonts w:ascii="Times New Roman" w:cs="Times New Roman" w:eastAsia="Times New Roman" w:hAnsi="Times New Roman"/>
          <w:sz w:val="18"/>
          <w:szCs w:val="18"/>
          <w:color w:val="auto"/>
        </w:rPr>
        <w:t>By: /s/ Nathan Muller</w:t>
      </w:r>
    </w:p>
    <w:p>
      <w:pPr>
        <w:spacing w:after="0" w:line="1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Nathan Muller</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SVP</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 xml:space="preserve">JPMORGAN CHASE BANK, N.A., </w:t>
      </w:r>
      <w:r>
        <w:rPr>
          <w:rFonts w:ascii="Times New Roman" w:cs="Times New Roman" w:eastAsia="Times New Roman" w:hAnsi="Times New Roman"/>
          <w:sz w:val="18"/>
          <w:szCs w:val="18"/>
          <w:color w:val="auto"/>
        </w:rPr>
        <w:t>as New Term Loan Lender</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Andrew Rossman</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Andrew Rossman</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 xml:space="preserve">PNC BANK, NATIONAL ASSOCIATION, </w:t>
      </w:r>
      <w:r>
        <w:rPr>
          <w:rFonts w:ascii="Times New Roman" w:cs="Times New Roman" w:eastAsia="Times New Roman" w:hAnsi="Times New Roman"/>
          <w:sz w:val="17"/>
          <w:szCs w:val="17"/>
          <w:color w:val="auto"/>
        </w:rPr>
        <w:t>as New Term Loan Lender</w:t>
      </w: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Larry D. Jackson</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Larry D. Jackson</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 xml:space="preserve">SYNOVUS BANK, </w:t>
      </w:r>
      <w:r>
        <w:rPr>
          <w:rFonts w:ascii="Times New Roman" w:cs="Times New Roman" w:eastAsia="Times New Roman" w:hAnsi="Times New Roman"/>
          <w:sz w:val="18"/>
          <w:szCs w:val="18"/>
          <w:color w:val="auto"/>
        </w:rPr>
        <w:t>as New Term Loan Lender</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Zachary Braun</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Zachary Braun</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 xml:space="preserve">UNITED COMMUNITY BANK, </w:t>
      </w:r>
      <w:r>
        <w:rPr>
          <w:rFonts w:ascii="Times New Roman" w:cs="Times New Roman" w:eastAsia="Times New Roman" w:hAnsi="Times New Roman"/>
          <w:sz w:val="18"/>
          <w:szCs w:val="18"/>
          <w:color w:val="auto"/>
        </w:rPr>
        <w:t>as New Term Loan Lender</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Allyn Harris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Allyn Harris</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2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Joinder Agreement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459105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20"/>
          </w:cols>
          <w:pgMar w:left="320" w:top="927" w:right="659" w:bottom="1440" w:gutter="0" w:footer="0" w:header="0"/>
        </w:sectPr>
      </w:pPr>
    </w:p>
    <w:bookmarkStart w:id="14" w:name="page15"/>
    <w:bookmarkEnd w:id="14"/>
    <w:p>
      <w:pPr>
        <w:spacing w:after="0"/>
        <w:rPr>
          <w:sz w:val="20"/>
          <w:szCs w:val="20"/>
          <w:color w:val="auto"/>
        </w:rPr>
      </w:pPr>
      <w:r>
        <w:rPr>
          <w:sz w:val="1"/>
          <w:szCs w:val="1"/>
          <w:color w:val="auto"/>
        </w:rPr>
        <w:drawing>
          <wp:inline distT="0" distB="0" distL="0" distR="0">
            <wp:extent cx="3574415" cy="27432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574415" cy="274320"/>
                    </a:xfrm>
                    <a:prstGeom prst="rect">
                      <a:avLst/>
                    </a:prstGeom>
                    <a:noFill/>
                    <a:ln>
                      <a:noFill/>
                    </a:ln>
                  </pic:spPr>
                </pic:pic>
              </a:graphicData>
            </a:graphic>
          </wp:inline>
        </w:drawing>
      </w:r>
      <w:r>
        <w:rPr>
          <w:rFonts w:ascii="Times New Roman" w:cs="Times New Roman" w:eastAsia="Times New Roman" w:hAnsi="Times New Roman"/>
          <w:sz w:val="18"/>
          <w:szCs w:val="18"/>
          <w:color w:val="auto"/>
        </w:rPr>
        <w:t>Consented to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1061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106170"/>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7"/>
          <w:szCs w:val="17"/>
          <w:b w:val="1"/>
          <w:bCs w:val="1"/>
          <w:color w:val="auto"/>
        </w:rPr>
        <w:t>BANK OF AMERICA, N.A.,</w:t>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rPr>
          <w:sz w:val="20"/>
          <w:szCs w:val="20"/>
          <w:color w:val="auto"/>
        </w:rPr>
      </w:pPr>
      <w:r>
        <w:rPr>
          <w:sz w:val="1"/>
          <w:szCs w:val="1"/>
          <w:color w:val="auto"/>
        </w:rPr>
        <w:drawing>
          <wp:inline distT="0" distB="0" distL="0" distR="0">
            <wp:extent cx="3574415" cy="2476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74415" cy="247650"/>
                    </a:xfrm>
                    <a:prstGeom prst="rect">
                      <a:avLst/>
                    </a:prstGeom>
                    <a:noFill/>
                    <a:ln>
                      <a:noFill/>
                    </a:ln>
                  </pic:spPr>
                </pic:pic>
              </a:graphicData>
            </a:graphic>
          </wp:inline>
        </w:drawing>
      </w:r>
      <w:r>
        <w:rPr>
          <w:rFonts w:ascii="Times New Roman" w:cs="Times New Roman" w:eastAsia="Times New Roman" w:hAnsi="Times New Roman"/>
          <w:sz w:val="18"/>
          <w:szCs w:val="18"/>
          <w:color w:val="auto"/>
        </w:rPr>
        <w:t>By: /s/ Nathan Muller</w:t>
      </w:r>
    </w:p>
    <w:p>
      <w:pPr>
        <w:spacing w:after="0" w:line="1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Nathan Muller</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SVP</w:t>
      </w:r>
    </w:p>
    <w:p>
      <w:pPr>
        <w:spacing w:after="0" w:line="20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Joinder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11" w:right="1440"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028700" cy="797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28700"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left="340" w:right="100"/>
        <w:spacing w:after="0" w:line="286" w:lineRule="auto"/>
        <w:rPr>
          <w:sz w:val="20"/>
          <w:szCs w:val="20"/>
          <w:color w:val="auto"/>
        </w:rPr>
      </w:pPr>
      <w:r>
        <w:rPr>
          <w:rFonts w:ascii="Times New Roman" w:cs="Times New Roman" w:eastAsia="Times New Roman" w:hAnsi="Times New Roman"/>
          <w:sz w:val="18"/>
          <w:szCs w:val="18"/>
          <w:b w:val="1"/>
          <w:bCs w:val="1"/>
          <w:color w:val="auto"/>
        </w:rPr>
        <w:t>National Vision Holdings, Inc. Announces Repurchase of $218 Million of Convertible Notes and Borrowing of $115 Million in Incremental Term Loans</w:t>
      </w:r>
    </w:p>
    <w:p>
      <w:pPr>
        <w:spacing w:after="0" w:line="15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Duluth, Ga., (August 8, 2024) </w:t>
      </w:r>
      <w:r>
        <w:rPr>
          <w:rFonts w:ascii="Times New Roman" w:cs="Times New Roman" w:eastAsia="Times New Roman" w:hAnsi="Times New Roman"/>
          <w:sz w:val="18"/>
          <w:szCs w:val="18"/>
          <w:color w:val="auto"/>
        </w:rPr>
        <w:t>-- National Vision Holdings, Inc. (NASDAQ: EYE) (“National Vision”) today announced that it has reached agreement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repurchase approximately $218 million aggregate principal amount of its 2.50% Convertible Senior Notes due 2025 (the “2025 Notes” and such repurchase, the “Repurchase Transactions”) for an aggregate cash repurchase price of approximately $215 million plus accrued and unpaid interest on such notes.</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National Vision also announced that it has secured commitments to amend its existing credit agreement (the “Credit Agreement”) to provide for, among other things, $115 million of incremental term loans (the “New Term Loans”), which commitments are expected to close and be funded on August 9, 2024. The New Term Loans will have the same terms as the existing term loans under the Credit Agreement and will constitute the same class of loans for all purposes under the Credit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Vision expects to fund the Repurchase Transactions with the proceeds of the New Term Loans, together with cash on hand.</w:t>
      </w:r>
    </w:p>
    <w:p>
      <w:pPr>
        <w:spacing w:after="0" w:line="22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Melissa Rasmussen, Chief Financial Officer of National Vision, said, “We are pleased to be in a position to complete this opportunistic repurchase of the majority of our remaining 2025 Notes outstanding. We believe the transactions announced today strengthen our balance sheet as we continue to execute a disciplined capital allocation plan, and we remain focused on making prudent decisions that strengthen our foundation for profitable growth.”</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Repurchase Transactions are expected to close on or about August 12, 2024. Following the closing of the Repurchase Transactions, approximately $85 million principal amount of the 2025 Notes will remain outstanding.</w:t>
      </w:r>
    </w:p>
    <w:p>
      <w:pPr>
        <w:spacing w:after="0" w:line="16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2F2F2F"/>
        </w:rPr>
        <w:t>This press release is neither an offer to sell nor a solicitation of an offer to buy any securities, nor will there be any offer, solicitation, or sale of any securities in any jurisdiction in which such offer, solicitation or sale would be unlawful.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National Vision Holdings, Inc</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National Vision Holdings, Inc. (NASDAQ: EYE) is one of the largest optical retail companies in the United States with over 1,200 stores in 38 states and Puerto Rico. With a mission of helping people by making quality eye care and eyewear more affordable and accessible, the company operates four retail brands: America’s Best Contacts &amp; Eyeglasses, Eyeglass World, and Vista Opticals inside select Fred Meyer stores and on select military bases, and e-commerce website </w:t>
      </w:r>
      <w:r>
        <w:rPr>
          <w:rFonts w:ascii="Times New Roman" w:cs="Times New Roman" w:eastAsia="Times New Roman" w:hAnsi="Times New Roman"/>
          <w:sz w:val="18"/>
          <w:szCs w:val="18"/>
          <w:u w:val="single" w:color="auto"/>
          <w:color w:val="auto"/>
        </w:rPr>
        <w:t>DiscountContacts.com</w:t>
      </w:r>
      <w:r>
        <w:rPr>
          <w:rFonts w:ascii="Times New Roman" w:cs="Times New Roman" w:eastAsia="Times New Roman" w:hAnsi="Times New Roman"/>
          <w:sz w:val="18"/>
          <w:szCs w:val="18"/>
          <w:color w:val="auto"/>
        </w:rPr>
        <w:t xml:space="preserve">, offering a variety of products and services for customers’ eye care needs. For more information, please visit </w:t>
      </w:r>
      <w:r>
        <w:rPr>
          <w:rFonts w:ascii="Times New Roman" w:cs="Times New Roman" w:eastAsia="Times New Roman" w:hAnsi="Times New Roman"/>
          <w:sz w:val="18"/>
          <w:szCs w:val="18"/>
          <w:u w:val="single" w:color="auto"/>
          <w:color w:val="auto"/>
        </w:rPr>
        <w:t>www.nationalvision.com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as amended (the “Securities Act”) and Section 21E of the Securities Exchange Act of 1934. These statements include statements related to our current beliefs and expectations regarding the consummation of the Repurchase Transactions and the amendment to the Credit Agreement. You can identify these forward-looking statements by the use of words such as “believes,” “expects,” “potential,” “continues,” “may,” “will,” “should,” “could,” “seeks,” “projects,” “predicts,” “intends,” “plans,” “estimates,” “anticipates” or the negative version of these words or other comparable words. Caution should be taken not to place undue reliance on any forward-looking statement as such statements speak only as of the date when made. We undertake no obligation to publicly update or review any forward-looking statement, whether as a result of new information, future developments or otherwise, except as required by law. Forward-looking statements are not guarantees and are subject to various risks and uncertainties, which may cause actual results to differ materially from those implied in forward-looking statements. Such factors include, but are not limited to, the termination of our partnership with Walmart, including the transition period and other wind down activities, will have an impact on our business, revenues, profitability and cash flows, which impact could be material; market volatility, an overall decline in the health of the economy and other factors impacting consumer spending, including inflation, uncertainty in financial markets, recessionary conditions, escalated interest rates, the timing and issuance of tax refunds, governmental instability, war and natural disasters, may affect consumer purchases, which could reduce demand for our products and materially harm our sales, profitability and financial condition; failure to recruit and retain vision care professionals for in-store roles or to provide remote care offerings could adversely affect our business, financial condition and results of operations; the optical retail industry is highly competitive, and if we do not compete successfully, our business may be adversely impacted; if we fail to open and operate new stores in a timely and cost-effective manner or fail to successfully enter new markets, our financial performance could be materially and adversely affected; if the performance of our Host brands declines or we are unable to maintain or extend our operating relationships with our Host partners, our business, profitability and cash flows may be adversely affected and we may be required to incur impairment charges; we are a low-cost provider and our business model relies on the low-cost of inputs and factors such as wage rate increases, inflation, cost increases, increases in the price of raw materials and energy prices could have a material adverse effect on our business, financial condition and results of operations; we require significant capital to fund our expanding business, including updating our Enterprise Resource Planning (“ERP”) and Customer Relationship Management (“CRM”), and other technological, systems and capabilities; our growth strategy could strain our existing resources and cause the performance of our existing stores to suffer; our success depends upon our marketing, advertising and promotional efforts and if we are unable to implement them successfully or efficiently, or if our competitors are more effective than we are, we may experience a material adverse effect on our business, financial condition and results of operations; we are subject to risks associated with leasing substantial amounts of space, including future increases in occupancy costs; certain technological advances, greater availability of, or increased consumer preferences for, vision correction alternatives to prescription eyeglasses or contact lenses, or future drug development for the correction of vision-related problems may reduce the demand for our products and adversely impact our business and profitability; if we fail to retain our existing senior management team or attract qualified new personnel such failure could have a material adverse effect on our business, financial condition and results of operations; our profitability and cash flows may be negatively affected if we are not successful in managing our inventory balances and inventory shrinkage; our operating results and inventory levels fluctuate on a seasonal basis; our e-commerce and omni-channel business faces distinct risks, and our failure to successfully manage those risks could have a negative impact on our profitability; we depend on our distribution centers and/or optical laboratories; we may incur losses arising from our investments in technological innovators in the optical retail industry, including artificial intelligence, which would negatively affect our financial results; ESG issues, including those related to climate change, could have a material adverse effect on our business, financial condition and results of operations; changing climate and weather patterns leading to severe weather and disasters may cause significant business interruptions and expenditures; future operational success depends on our ability to develop, maintain and extend relationships with managed vision care companies, vision insurance providers and other third-party payors; we face risks associated with vendors from whom our products are sourced and are dependent on a limited number of suppliers; we rely heavily on our information technology systems, as well as those of our vendors, for our business to effectively operate and to safeguard confidential information; any significant failure, inadequacy, interruption or security breach could adversely affect our business, financial condition and operations; we rely on third-party coverage and reimbursement, including government programs, for an increasing portion of our revenues, the future reduction of which could adversely affect our results of operations; we are subject to extensive state, local and federal vision care and healthcare laws and regulations and failure to adhere to such laws and regulations would adversely affect our business; we are subject to managed vision care laws and regulations; we are subject to rapidly changing and increasingly stringent laws, regulations, contractual obligations, and industry standards relating to privacy, data security and data protection which could subject us to liabilities that adversely affect our business, operations and financial performance; we could be adversely affected by product liability, product recall or personal injury issues; failure to comply with laws, regulations and enforcement activities or changes in statutory, regulatory, accounting and other legal requirements could potentially impact our operating and financial results; adverse judgments or settlements resulting from legal proceedings relating to our business operations could materially adversely affect our business, financial condition and results of operations; we may not be able to adequately protect our intellectual property, which could harm the value of our brand and adversely affect our business; we have a significant amount of indebtedness which could adversely affect our business and financial position, including limiting our business flexibility and preventing us from meeting our debt obligations; a change in interest rates may adversely affect our business; our credit agreement contains restrictions that limit our flexibility in operating our business; conversion of the 2025 Notes could dilute the ownership interest of existing stockholders or may otherwise depress the price of our common stock; and risks related to owning our common stock, including our ability to comply with requirements to design and implement and maintain effective internal controls. Additional information about these and other factors that could cause National Vision’s results to differ materially from those described in the forward-looking statements can be found in filings by National Vision with the Securities and Exchange Commission (“SEC”), including our latest Annual Report on Form 10-K and subsequent Quarterly Reports on Form 10-Q, which are accessible on the SEC’s website at www.sec.gov. These factors should not be construed as exhaustive and should be read in conjunction with the other cautionary statements that are included in this release and in our filings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investor.relations@nationalvision.com</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Vision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Tamara Gonzalez</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Caitlin Churchill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media@nationalvision.com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Vision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Racheal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6"/>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2"/>
    </w:lvl>
    <w:lvl w:ilvl="1">
      <w:lvlJc w:val="left"/>
      <w:lvlText w:val="%2."/>
      <w:numFmt w:val="lowerLetter"/>
      <w:start w:val="1"/>
    </w:lvl>
  </w:abstractNum>
  <w:abstractNum w:abstractNumId="6">
    <w:nsid w:val="5BD062C2"/>
    <w:multiLevelType w:val="hybridMultilevel"/>
    <w:lvl w:ilvl="0">
      <w:lvlJc w:val="left"/>
      <w:lvlText w:val="%1."/>
      <w:numFmt w:val="lowerLetter"/>
      <w:start w:val="2"/>
    </w:lvl>
  </w:abstractNum>
  <w:abstractNum w:abstractNumId="7">
    <w:nsid w:val="12200854"/>
    <w:multiLevelType w:val="hybridMultilevel"/>
    <w:lvl w:ilvl="0">
      <w:lvlJc w:val="left"/>
      <w:lvlText w:val="%1"/>
      <w:numFmt w:val="decimal"/>
      <w:start w:val="1"/>
    </w:lvl>
    <w:lvl w:ilvl="1">
      <w:lvlJc w:val="left"/>
      <w:lvlText w:val="%2."/>
      <w:numFmt w:val="lowerLetter"/>
      <w:start w:val="6"/>
    </w:lvl>
  </w:abstractNum>
  <w:abstractNum w:abstractNumId="8">
    <w:nsid w:val="4DB127F8"/>
    <w:multiLevelType w:val="hybridMultilevel"/>
    <w:lvl w:ilvl="0">
      <w:lvlJc w:val="left"/>
      <w:lvlText w:val="%1."/>
      <w:numFmt w:val="decimal"/>
      <w:start w:val="4"/>
    </w:lvl>
    <w:lvl w:ilvl="1">
      <w:lvlJc w:val="left"/>
      <w:lvlText w:val="%2"/>
      <w:numFmt w:val="lowerLetter"/>
      <w:start w:val="1"/>
    </w:lvl>
  </w:abstractNum>
  <w:abstractNum w:abstractNumId="9">
    <w:nsid w:val="216231B"/>
    <w:multiLevelType w:val="hybridMultilevel"/>
    <w:lvl w:ilvl="0">
      <w:lvlJc w:val="left"/>
      <w:lvlText w:val="%1."/>
      <w:numFmt w:val="decimal"/>
      <w:start w:val="11"/>
    </w:lvl>
  </w:abstractNum>
  <w:abstractNum w:abstractNumId="10">
    <w:nsid w:val="1F16E9E8"/>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2024-08-09T15:16:49Z</dcterms:created>
  <dcterms:modified xsi:type="dcterms:W3CDTF">2024-08-09T15:16:49Z</dcterms:modified>
</cp:coreProperties>
</file>