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24130</wp:posOffset>
            </wp:positionV>
            <wp:extent cx="6992620" cy="5630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63054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80" w:space="260"/>
            <w:col w:w="8540"/>
          </w:cols>
          <w:pgMar w:left="460" w:top="216"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Brandman Jared</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right="500"/>
        <w:spacing w:after="0" w:line="384" w:lineRule="auto"/>
        <w:rPr>
          <w:sz w:val="20"/>
          <w:szCs w:val="20"/>
          <w:color w:val="auto"/>
        </w:rPr>
      </w:pPr>
      <w:r>
        <w:rPr>
          <w:rFonts w:ascii="Times New Roman" w:cs="Times New Roman" w:eastAsia="Times New Roman" w:hAnsi="Times New Roman"/>
          <w:sz w:val="16"/>
          <w:szCs w:val="16"/>
          <w:color w:val="0000FF"/>
        </w:rPr>
        <w:t>C/O NATIONAL VISION HOLDINGS, INC. 2435 COMMERCE AVENUE, BLDG. 2200</w:t>
      </w:r>
    </w:p>
    <w:p>
      <w:pPr>
        <w:spacing w:after="0" w:line="152"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DULUTH</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GA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30096-4980</w:t>
            </w:r>
          </w:p>
        </w:tc>
      </w:tr>
      <w:tr>
        <w:trPr>
          <w:trHeight w:val="151"/>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National Vision Holdings,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EYE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60" w:type="dxa"/>
            <w:vAlign w:val="bottom"/>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2420" w:type="dxa"/>
            <w:vAlign w:val="bottom"/>
            <w:tcBorders>
              <w:top w:val="single" w:sz="8" w:color="0000EE"/>
            </w:tcBorders>
          </w:tcPr>
          <w:p>
            <w:pPr>
              <w:spacing w:after="0"/>
              <w:rPr>
                <w:sz w:val="12"/>
                <w:szCs w:val="12"/>
                <w:color w:val="auto"/>
              </w:rPr>
            </w:pPr>
          </w:p>
        </w:tc>
        <w:tc>
          <w:tcPr>
            <w:tcW w:w="1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ind w:left="1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4"/>
        </w:trPr>
        <w:tc>
          <w:tcPr>
            <w:tcW w:w="60" w:type="dxa"/>
            <w:vAlign w:val="bottom"/>
            <w:tcBorders>
              <w:bottom w:val="single" w:sz="8" w:color="808080"/>
            </w:tcBorders>
          </w:tcPr>
          <w:p>
            <w:pPr>
              <w:spacing w:after="0"/>
              <w:rPr>
                <w:sz w:val="15"/>
                <w:szCs w:val="15"/>
                <w:color w:val="auto"/>
              </w:rPr>
            </w:pPr>
          </w:p>
        </w:tc>
        <w:tc>
          <w:tcPr>
            <w:tcW w:w="140" w:type="dxa"/>
            <w:vAlign w:val="bottom"/>
            <w:tcBorders>
              <w:bottom w:val="single" w:sz="8" w:color="808080"/>
            </w:tcBorders>
          </w:tcPr>
          <w:p>
            <w:pPr>
              <w:spacing w:after="0"/>
              <w:rPr>
                <w:sz w:val="15"/>
                <w:szCs w:val="15"/>
                <w:color w:val="auto"/>
              </w:rPr>
            </w:pPr>
          </w:p>
        </w:tc>
        <w:tc>
          <w:tcPr>
            <w:tcW w:w="2420" w:type="dxa"/>
            <w:vAlign w:val="bottom"/>
            <w:tcBorders>
              <w:bottom w:val="single" w:sz="8" w:color="808080"/>
            </w:tcBorders>
          </w:tcPr>
          <w:p>
            <w:pPr>
              <w:spacing w:after="0"/>
              <w:rPr>
                <w:sz w:val="15"/>
                <w:szCs w:val="15"/>
                <w:color w:val="auto"/>
              </w:rPr>
            </w:pPr>
          </w:p>
        </w:tc>
        <w:tc>
          <w:tcPr>
            <w:tcW w:w="1200" w:type="dxa"/>
            <w:vAlign w:val="bottom"/>
            <w:tcBorders>
              <w:bottom w:val="single" w:sz="8" w:color="808080"/>
            </w:tcBorders>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9"/>
        </w:trPr>
        <w:tc>
          <w:tcPr>
            <w:tcW w:w="20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2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60" w:type="dxa"/>
            <w:vAlign w:val="bottom"/>
            <w:vMerge w:val="restart"/>
          </w:tcPr>
          <w:p>
            <w:pPr>
              <w:ind w:left="100"/>
              <w:spacing w:after="0" w:line="126"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line="126"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800" w:type="dxa"/>
            <w:vAlign w:val="bottom"/>
            <w:gridSpan w:val="2"/>
            <w:vMerge w:val="restart"/>
          </w:tcPr>
          <w:p>
            <w:pPr>
              <w:ind w:left="360"/>
              <w:spacing w:after="0"/>
              <w:rPr>
                <w:sz w:val="20"/>
                <w:szCs w:val="20"/>
                <w:color w:val="auto"/>
              </w:rPr>
            </w:pPr>
            <w:r>
              <w:rPr>
                <w:rFonts w:ascii="Times New Roman" w:cs="Times New Roman" w:eastAsia="Times New Roman" w:hAnsi="Times New Roman"/>
                <w:sz w:val="17"/>
                <w:szCs w:val="17"/>
                <w:color w:val="0000FF"/>
              </w:rPr>
              <w:t>SVP, GC and Secretary</w:t>
            </w:r>
          </w:p>
        </w:tc>
        <w:tc>
          <w:tcPr>
            <w:tcW w:w="0" w:type="dxa"/>
            <w:vAlign w:val="bottom"/>
          </w:tcPr>
          <w:p>
            <w:pPr>
              <w:spacing w:after="0"/>
              <w:rPr>
                <w:sz w:val="1"/>
                <w:szCs w:val="1"/>
                <w:color w:val="auto"/>
              </w:rPr>
            </w:pPr>
          </w:p>
        </w:tc>
      </w:tr>
      <w:tr>
        <w:trPr>
          <w:trHeight w:val="219"/>
        </w:trPr>
        <w:tc>
          <w:tcPr>
            <w:tcW w:w="26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03/02/2023</w:t>
            </w: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0"/>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4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6"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97" w:lineRule="exact"/>
        <w:rPr>
          <w:sz w:val="24"/>
          <w:szCs w:val="24"/>
          <w:color w:val="auto"/>
        </w:rPr>
      </w:pPr>
    </w:p>
    <w:p>
      <w:pPr>
        <w:sectPr>
          <w:pgSz w:w="11900" w:h="16838" w:orient="portrait"/>
          <w:cols w:equalWidth="0" w:num="2">
            <w:col w:w="3740" w:space="10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2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2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5"/>
          </w:tcPr>
          <w:p>
            <w:pPr>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40" w:type="dxa"/>
            <w:vAlign w:val="bottom"/>
            <w:gridSpan w:val="2"/>
          </w:tcPr>
          <w:p>
            <w:pPr>
              <w:jc w:val="center"/>
              <w:ind w:left="571"/>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540" w:type="dxa"/>
            <w:vAlign w:val="bottom"/>
          </w:tcPr>
          <w:p>
            <w:pPr>
              <w:ind w:left="200"/>
              <w:spacing w:after="0" w:line="130" w:lineRule="exact"/>
              <w:rPr>
                <w:sz w:val="20"/>
                <w:szCs w:val="20"/>
                <w:color w:val="auto"/>
              </w:rPr>
            </w:pPr>
            <w:r>
              <w:rPr>
                <w:rFonts w:ascii="Arial" w:cs="Arial" w:eastAsia="Arial" w:hAnsi="Arial"/>
                <w:sz w:val="12"/>
                <w:szCs w:val="12"/>
                <w:b w:val="1"/>
                <w:bCs w:val="1"/>
                <w:color w:val="auto"/>
                <w:w w:val="99"/>
              </w:rPr>
              <w:t>(A) or</w:t>
            </w:r>
          </w:p>
        </w:tc>
        <w:tc>
          <w:tcPr>
            <w:tcW w:w="56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jc w:val="center"/>
              <w:ind w:left="571"/>
              <w:spacing w:after="0"/>
              <w:rPr>
                <w:sz w:val="20"/>
                <w:szCs w:val="20"/>
                <w:color w:val="auto"/>
              </w:rPr>
            </w:pPr>
            <w:r>
              <w:rPr>
                <w:rFonts w:ascii="Times New Roman" w:cs="Times New Roman" w:eastAsia="Times New Roman" w:hAnsi="Times New Roman"/>
                <w:sz w:val="17"/>
                <w:szCs w:val="17"/>
                <w:color w:val="0000FF"/>
              </w:rPr>
              <w:t>03/02/2023</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18"/>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left="90"/>
              <w:spacing w:after="0"/>
              <w:rPr>
                <w:sz w:val="20"/>
                <w:szCs w:val="20"/>
                <w:color w:val="auto"/>
              </w:rPr>
            </w:pPr>
            <w:r>
              <w:rPr>
                <w:rFonts w:ascii="Times New Roman" w:cs="Times New Roman" w:eastAsia="Times New Roman" w:hAnsi="Times New Roman"/>
                <w:sz w:val="17"/>
                <w:szCs w:val="17"/>
                <w:color w:val="0000FF"/>
                <w:w w:val="99"/>
              </w:rPr>
              <w:t>2,078</w:t>
            </w:r>
          </w:p>
        </w:tc>
        <w:tc>
          <w:tcPr>
            <w:tcW w:w="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right"/>
              <w:ind w:right="20"/>
              <w:spacing w:after="0" w:line="312"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(1)</w:t>
            </w:r>
          </w:p>
        </w:tc>
        <w:tc>
          <w:tcPr>
            <w:tcW w:w="1320" w:type="dxa"/>
            <w:vAlign w:val="bottom"/>
            <w:tcBorders>
              <w:bottom w:val="single" w:sz="8" w:color="2C2C2C"/>
            </w:tcBorders>
            <w:gridSpan w:val="3"/>
          </w:tcPr>
          <w:p>
            <w:pPr>
              <w:jc w:val="right"/>
              <w:ind w:right="321"/>
              <w:spacing w:after="0"/>
              <w:rPr>
                <w:sz w:val="20"/>
                <w:szCs w:val="20"/>
                <w:color w:val="auto"/>
              </w:rPr>
            </w:pPr>
            <w:r>
              <w:rPr>
                <w:rFonts w:ascii="Times New Roman" w:cs="Times New Roman" w:eastAsia="Times New Roman" w:hAnsi="Times New Roman"/>
                <w:sz w:val="17"/>
                <w:szCs w:val="17"/>
                <w:color w:val="0000FF"/>
              </w:rPr>
              <w:t>23,079</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740" w:type="dxa"/>
            <w:vAlign w:val="bottom"/>
            <w:gridSpan w:val="2"/>
          </w:tcPr>
          <w:p>
            <w:pPr>
              <w:jc w:val="center"/>
              <w:ind w:left="571"/>
              <w:spacing w:after="0"/>
              <w:rPr>
                <w:sz w:val="20"/>
                <w:szCs w:val="20"/>
                <w:color w:val="auto"/>
              </w:rPr>
            </w:pPr>
            <w:r>
              <w:rPr>
                <w:rFonts w:ascii="Times New Roman" w:cs="Times New Roman" w:eastAsia="Times New Roman" w:hAnsi="Times New Roman"/>
                <w:sz w:val="17"/>
                <w:szCs w:val="17"/>
                <w:color w:val="0000FF"/>
              </w:rPr>
              <w:t>03/02/2023</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38"/>
              <w:spacing w:after="0"/>
              <w:rPr>
                <w:sz w:val="20"/>
                <w:szCs w:val="20"/>
                <w:color w:val="auto"/>
              </w:rPr>
            </w:pPr>
            <w:r>
              <w:rPr>
                <w:rFonts w:ascii="Times New Roman" w:cs="Times New Roman" w:eastAsia="Times New Roman" w:hAnsi="Times New Roman"/>
                <w:sz w:val="13"/>
                <w:szCs w:val="13"/>
                <w:color w:val="0000FF"/>
                <w:w w:val="82"/>
              </w:rPr>
              <w:t>F</w:t>
            </w:r>
          </w:p>
        </w:tc>
        <w:tc>
          <w:tcPr>
            <w:tcW w:w="220" w:type="dxa"/>
            <w:vAlign w:val="bottom"/>
          </w:tcPr>
          <w:p>
            <w:pPr>
              <w:spacing w:after="0"/>
              <w:rPr>
                <w:sz w:val="22"/>
                <w:szCs w:val="22"/>
                <w:color w:val="auto"/>
              </w:rPr>
            </w:pPr>
          </w:p>
        </w:tc>
        <w:tc>
          <w:tcPr>
            <w:tcW w:w="540" w:type="dxa"/>
            <w:vAlign w:val="bottom"/>
          </w:tcPr>
          <w:p>
            <w:pPr>
              <w:jc w:val="center"/>
              <w:ind w:left="70"/>
              <w:spacing w:after="0"/>
              <w:rPr>
                <w:sz w:val="20"/>
                <w:szCs w:val="20"/>
                <w:color w:val="auto"/>
              </w:rPr>
            </w:pPr>
            <w:r>
              <w:rPr>
                <w:rFonts w:ascii="Times New Roman" w:cs="Times New Roman" w:eastAsia="Times New Roman" w:hAnsi="Times New Roman"/>
                <w:sz w:val="17"/>
                <w:szCs w:val="17"/>
                <w:color w:val="0000FF"/>
                <w:w w:val="93"/>
              </w:rPr>
              <w:t>614</w:t>
            </w:r>
          </w:p>
        </w:tc>
        <w:tc>
          <w:tcPr>
            <w:tcW w:w="80" w:type="dxa"/>
            <w:vAlign w:val="bottom"/>
          </w:tcPr>
          <w:p>
            <w:pPr>
              <w:spacing w:after="0"/>
              <w:rPr>
                <w:sz w:val="22"/>
                <w:szCs w:val="22"/>
                <w:color w:val="auto"/>
              </w:rPr>
            </w:pPr>
          </w:p>
        </w:tc>
        <w:tc>
          <w:tcPr>
            <w:tcW w:w="5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520" w:type="dxa"/>
            <w:vAlign w:val="bottom"/>
          </w:tcPr>
          <w:p>
            <w:pPr>
              <w:jc w:val="right"/>
              <w:ind w:right="1"/>
              <w:spacing w:after="0"/>
              <w:rPr>
                <w:sz w:val="20"/>
                <w:szCs w:val="20"/>
                <w:color w:val="auto"/>
              </w:rPr>
            </w:pPr>
            <w:r>
              <w:rPr>
                <w:rFonts w:ascii="Times New Roman" w:cs="Times New Roman" w:eastAsia="Times New Roman" w:hAnsi="Times New Roman"/>
                <w:sz w:val="11"/>
                <w:szCs w:val="11"/>
                <w:color w:val="008000"/>
              </w:rPr>
              <w:t>(2)</w:t>
            </w:r>
          </w:p>
        </w:tc>
        <w:tc>
          <w:tcPr>
            <w:tcW w:w="40" w:type="dxa"/>
            <w:vAlign w:val="bottom"/>
          </w:tcPr>
          <w:p>
            <w:pPr>
              <w:spacing w:after="0"/>
              <w:rPr>
                <w:sz w:val="22"/>
                <w:szCs w:val="22"/>
                <w:color w:val="auto"/>
              </w:rPr>
            </w:pPr>
          </w:p>
        </w:tc>
        <w:tc>
          <w:tcPr>
            <w:tcW w:w="1320" w:type="dxa"/>
            <w:vAlign w:val="bottom"/>
            <w:gridSpan w:val="3"/>
          </w:tcPr>
          <w:p>
            <w:pPr>
              <w:jc w:val="right"/>
              <w:ind w:right="321"/>
              <w:spacing w:after="0"/>
              <w:rPr>
                <w:sz w:val="20"/>
                <w:szCs w:val="20"/>
                <w:color w:val="auto"/>
              </w:rPr>
            </w:pPr>
            <w:r>
              <w:rPr>
                <w:rFonts w:ascii="Times New Roman" w:cs="Times New Roman" w:eastAsia="Times New Roman" w:hAnsi="Times New Roman"/>
                <w:sz w:val="17"/>
                <w:szCs w:val="17"/>
                <w:color w:val="0000FF"/>
              </w:rPr>
              <w:t>22,465</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gridSpan w:val="2"/>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jc w:val="center"/>
              <w:ind w:left="571"/>
              <w:spacing w:after="0"/>
              <w:rPr>
                <w:sz w:val="20"/>
                <w:szCs w:val="20"/>
                <w:color w:val="auto"/>
              </w:rPr>
            </w:pPr>
            <w:r>
              <w:rPr>
                <w:rFonts w:ascii="Times New Roman" w:cs="Times New Roman" w:eastAsia="Times New Roman" w:hAnsi="Times New Roman"/>
                <w:sz w:val="17"/>
                <w:szCs w:val="17"/>
                <w:color w:val="0000FF"/>
              </w:rPr>
              <w:t>03/02/2023</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18"/>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5"/>
              </w:rPr>
              <w:t>3,883</w:t>
            </w:r>
            <w:r>
              <w:rPr>
                <w:rFonts w:ascii="Times New Roman" w:cs="Times New Roman" w:eastAsia="Times New Roman" w:hAnsi="Times New Roman"/>
                <w:sz w:val="21"/>
                <w:szCs w:val="21"/>
                <w:color w:val="008000"/>
                <w:w w:val="95"/>
                <w:vertAlign w:val="superscript"/>
              </w:rPr>
              <w:t>(3)</w:t>
            </w:r>
          </w:p>
        </w:tc>
        <w:tc>
          <w:tcPr>
            <w:tcW w:w="5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right"/>
              <w:ind w:right="20"/>
              <w:spacing w:after="0" w:line="312"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(4)</w:t>
            </w:r>
          </w:p>
        </w:tc>
        <w:tc>
          <w:tcPr>
            <w:tcW w:w="1320" w:type="dxa"/>
            <w:vAlign w:val="bottom"/>
            <w:tcBorders>
              <w:bottom w:val="single" w:sz="8" w:color="2C2C2C"/>
            </w:tcBorders>
            <w:gridSpan w:val="3"/>
          </w:tcPr>
          <w:p>
            <w:pPr>
              <w:jc w:val="right"/>
              <w:ind w:right="321"/>
              <w:spacing w:after="0"/>
              <w:rPr>
                <w:sz w:val="20"/>
                <w:szCs w:val="20"/>
                <w:color w:val="auto"/>
              </w:rPr>
            </w:pPr>
            <w:r>
              <w:rPr>
                <w:rFonts w:ascii="Times New Roman" w:cs="Times New Roman" w:eastAsia="Times New Roman" w:hAnsi="Times New Roman"/>
                <w:sz w:val="17"/>
                <w:szCs w:val="17"/>
                <w:color w:val="0000FF"/>
              </w:rPr>
              <w:t>26,348</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740" w:type="dxa"/>
            <w:vAlign w:val="bottom"/>
            <w:gridSpan w:val="2"/>
          </w:tcPr>
          <w:p>
            <w:pPr>
              <w:jc w:val="center"/>
              <w:ind w:left="571"/>
              <w:spacing w:after="0"/>
              <w:rPr>
                <w:sz w:val="20"/>
                <w:szCs w:val="20"/>
                <w:color w:val="auto"/>
              </w:rPr>
            </w:pPr>
            <w:r>
              <w:rPr>
                <w:rFonts w:ascii="Times New Roman" w:cs="Times New Roman" w:eastAsia="Times New Roman" w:hAnsi="Times New Roman"/>
                <w:sz w:val="17"/>
                <w:szCs w:val="17"/>
                <w:color w:val="0000FF"/>
              </w:rPr>
              <w:t>03/02/2023</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38"/>
              <w:spacing w:after="0"/>
              <w:rPr>
                <w:sz w:val="20"/>
                <w:szCs w:val="20"/>
                <w:color w:val="auto"/>
              </w:rPr>
            </w:pPr>
            <w:r>
              <w:rPr>
                <w:rFonts w:ascii="Times New Roman" w:cs="Times New Roman" w:eastAsia="Times New Roman" w:hAnsi="Times New Roman"/>
                <w:sz w:val="13"/>
                <w:szCs w:val="13"/>
                <w:color w:val="0000FF"/>
                <w:w w:val="82"/>
              </w:rPr>
              <w:t>F</w:t>
            </w:r>
          </w:p>
        </w:tc>
        <w:tc>
          <w:tcPr>
            <w:tcW w:w="220" w:type="dxa"/>
            <w:vAlign w:val="bottom"/>
          </w:tcPr>
          <w:p>
            <w:pPr>
              <w:spacing w:after="0"/>
              <w:rPr>
                <w:sz w:val="22"/>
                <w:szCs w:val="22"/>
                <w:color w:val="auto"/>
              </w:rPr>
            </w:pPr>
          </w:p>
        </w:tc>
        <w:tc>
          <w:tcPr>
            <w:tcW w:w="540" w:type="dxa"/>
            <w:vAlign w:val="bottom"/>
          </w:tcPr>
          <w:p>
            <w:pPr>
              <w:jc w:val="center"/>
              <w:ind w:left="90"/>
              <w:spacing w:after="0"/>
              <w:rPr>
                <w:sz w:val="20"/>
                <w:szCs w:val="20"/>
                <w:color w:val="auto"/>
              </w:rPr>
            </w:pPr>
            <w:r>
              <w:rPr>
                <w:rFonts w:ascii="Times New Roman" w:cs="Times New Roman" w:eastAsia="Times New Roman" w:hAnsi="Times New Roman"/>
                <w:sz w:val="17"/>
                <w:szCs w:val="17"/>
                <w:color w:val="0000FF"/>
                <w:w w:val="99"/>
              </w:rPr>
              <w:t>1,352</w:t>
            </w:r>
          </w:p>
        </w:tc>
        <w:tc>
          <w:tcPr>
            <w:tcW w:w="80" w:type="dxa"/>
            <w:vAlign w:val="bottom"/>
          </w:tcPr>
          <w:p>
            <w:pPr>
              <w:spacing w:after="0"/>
              <w:rPr>
                <w:sz w:val="22"/>
                <w:szCs w:val="22"/>
                <w:color w:val="auto"/>
              </w:rPr>
            </w:pPr>
          </w:p>
        </w:tc>
        <w:tc>
          <w:tcPr>
            <w:tcW w:w="5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520" w:type="dxa"/>
            <w:vAlign w:val="bottom"/>
          </w:tcPr>
          <w:p>
            <w:pPr>
              <w:jc w:val="right"/>
              <w:ind w:right="1"/>
              <w:spacing w:after="0"/>
              <w:rPr>
                <w:sz w:val="20"/>
                <w:szCs w:val="20"/>
                <w:color w:val="auto"/>
              </w:rPr>
            </w:pPr>
            <w:r>
              <w:rPr>
                <w:rFonts w:ascii="Times New Roman" w:cs="Times New Roman" w:eastAsia="Times New Roman" w:hAnsi="Times New Roman"/>
                <w:sz w:val="11"/>
                <w:szCs w:val="11"/>
                <w:color w:val="008000"/>
              </w:rPr>
              <w:t>(5)</w:t>
            </w:r>
          </w:p>
        </w:tc>
        <w:tc>
          <w:tcPr>
            <w:tcW w:w="40" w:type="dxa"/>
            <w:vAlign w:val="bottom"/>
          </w:tcPr>
          <w:p>
            <w:pPr>
              <w:spacing w:after="0"/>
              <w:rPr>
                <w:sz w:val="22"/>
                <w:szCs w:val="22"/>
                <w:color w:val="auto"/>
              </w:rPr>
            </w:pPr>
          </w:p>
        </w:tc>
        <w:tc>
          <w:tcPr>
            <w:tcW w:w="1320" w:type="dxa"/>
            <w:vAlign w:val="bottom"/>
            <w:gridSpan w:val="3"/>
          </w:tcPr>
          <w:p>
            <w:pPr>
              <w:jc w:val="right"/>
              <w:ind w:right="321"/>
              <w:spacing w:after="0"/>
              <w:rPr>
                <w:sz w:val="20"/>
                <w:szCs w:val="20"/>
                <w:color w:val="auto"/>
              </w:rPr>
            </w:pPr>
            <w:r>
              <w:rPr>
                <w:rFonts w:ascii="Times New Roman" w:cs="Times New Roman" w:eastAsia="Times New Roman" w:hAnsi="Times New Roman"/>
                <w:sz w:val="17"/>
                <w:szCs w:val="17"/>
                <w:color w:val="0000FF"/>
              </w:rPr>
              <w:t>24,996</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20" w:type="dxa"/>
            <w:vAlign w:val="bottom"/>
            <w:tcBorders>
              <w:bottom w:val="single" w:sz="8" w:color="2C2C2C"/>
            </w:tcBorders>
            <w:gridSpan w:val="6"/>
          </w:tcPr>
          <w:p>
            <w:pPr>
              <w:spacing w:after="0"/>
              <w:rPr>
                <w:sz w:val="8"/>
                <w:szCs w:val="8"/>
                <w:color w:val="auto"/>
              </w:rPr>
            </w:pPr>
          </w:p>
        </w:tc>
        <w:tc>
          <w:tcPr>
            <w:tcW w:w="2520" w:type="dxa"/>
            <w:vAlign w:val="bottom"/>
            <w:tcBorders>
              <w:bottom w:val="single" w:sz="8" w:color="2C2C2C"/>
            </w:tcBorders>
            <w:gridSpan w:val="6"/>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5"/>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0" w:type="dxa"/>
            <w:vAlign w:val="bottom"/>
            <w:gridSpan w:val="12"/>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8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8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gridSpan w:val="2"/>
            <w:vMerge w:val="restart"/>
          </w:tcPr>
          <w:p>
            <w:pPr>
              <w:jc w:val="center"/>
              <w:ind w:right="18"/>
              <w:spacing w:after="0"/>
              <w:rPr>
                <w:sz w:val="20"/>
                <w:szCs w:val="20"/>
                <w:color w:val="auto"/>
              </w:rPr>
            </w:pPr>
            <w:r>
              <w:rPr>
                <w:rFonts w:ascii="Times New Roman" w:cs="Times New Roman" w:eastAsia="Times New Roman" w:hAnsi="Times New Roman"/>
                <w:sz w:val="11"/>
                <w:szCs w:val="11"/>
                <w:color w:val="008000"/>
                <w:w w:val="93"/>
              </w:rPr>
              <w:t>(6)</w:t>
            </w:r>
          </w:p>
        </w:tc>
        <w:tc>
          <w:tcPr>
            <w:tcW w:w="220" w:type="dxa"/>
            <w:vAlign w:val="bottom"/>
          </w:tcPr>
          <w:p>
            <w:pPr>
              <w:spacing w:after="0"/>
              <w:rPr>
                <w:sz w:val="15"/>
                <w:szCs w:val="15"/>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(6)</w:t>
            </w:r>
          </w:p>
        </w:tc>
        <w:tc>
          <w:tcPr>
            <w:tcW w:w="6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2,078</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80" w:type="dxa"/>
            <w:vAlign w:val="bottom"/>
          </w:tcPr>
          <w:p>
            <w:pPr>
              <w:ind w:left="240"/>
              <w:spacing w:after="0" w:line="130" w:lineRule="exact"/>
              <w:rPr>
                <w:sz w:val="20"/>
                <w:szCs w:val="20"/>
                <w:color w:val="auto"/>
              </w:rPr>
            </w:pPr>
            <w:r>
              <w:rPr>
                <w:rFonts w:ascii="Times New Roman" w:cs="Times New Roman" w:eastAsia="Times New Roman" w:hAnsi="Times New Roman"/>
                <w:sz w:val="13"/>
                <w:szCs w:val="13"/>
                <w:color w:val="0000FF"/>
              </w:rPr>
              <w:t>03/02/2023</w:t>
            </w:r>
          </w:p>
        </w:tc>
        <w:tc>
          <w:tcPr>
            <w:tcW w:w="1100" w:type="dxa"/>
            <w:vAlign w:val="bottom"/>
          </w:tcPr>
          <w:p>
            <w:pPr>
              <w:spacing w:after="0"/>
              <w:rPr>
                <w:sz w:val="11"/>
                <w:szCs w:val="11"/>
                <w:color w:val="auto"/>
              </w:rPr>
            </w:pPr>
          </w:p>
        </w:tc>
        <w:tc>
          <w:tcPr>
            <w:tcW w:w="640" w:type="dxa"/>
            <w:vAlign w:val="bottom"/>
          </w:tcPr>
          <w:p>
            <w:pPr>
              <w:ind w:left="160"/>
              <w:spacing w:after="0" w:line="130"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1"/>
                <w:szCs w:val="11"/>
                <w:color w:val="auto"/>
              </w:rPr>
            </w:pPr>
          </w:p>
        </w:tc>
        <w:tc>
          <w:tcPr>
            <w:tcW w:w="800" w:type="dxa"/>
            <w:vAlign w:val="bottom"/>
          </w:tcPr>
          <w:p>
            <w:pPr>
              <w:ind w:left="380"/>
              <w:spacing w:after="0" w:line="130" w:lineRule="exact"/>
              <w:rPr>
                <w:sz w:val="20"/>
                <w:szCs w:val="20"/>
                <w:color w:val="auto"/>
              </w:rPr>
            </w:pPr>
            <w:r>
              <w:rPr>
                <w:rFonts w:ascii="Times New Roman" w:cs="Times New Roman" w:eastAsia="Times New Roman" w:hAnsi="Times New Roman"/>
                <w:sz w:val="13"/>
                <w:szCs w:val="13"/>
                <w:color w:val="0000FF"/>
              </w:rPr>
              <w:t>2,078</w:t>
            </w:r>
          </w:p>
        </w:tc>
        <w:tc>
          <w:tcPr>
            <w:tcW w:w="76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60"/>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80"/>
              <w:spacing w:after="0" w:line="130" w:lineRule="exact"/>
              <w:rPr>
                <w:sz w:val="20"/>
                <w:szCs w:val="20"/>
                <w:color w:val="auto"/>
              </w:rPr>
            </w:pPr>
            <w:r>
              <w:rPr>
                <w:rFonts w:ascii="Times New Roman" w:cs="Times New Roman" w:eastAsia="Times New Roman" w:hAnsi="Times New Roman"/>
                <w:sz w:val="13"/>
                <w:szCs w:val="13"/>
                <w:color w:val="0000FF"/>
              </w:rPr>
              <w:t>8,179</w:t>
            </w:r>
          </w:p>
        </w:tc>
        <w:tc>
          <w:tcPr>
            <w:tcW w:w="280" w:type="dxa"/>
            <w:vAlign w:val="bottom"/>
          </w:tcPr>
          <w:p>
            <w:pPr>
              <w:spacing w:after="0"/>
              <w:rPr>
                <w:sz w:val="11"/>
                <w:szCs w:val="11"/>
                <w:color w:val="auto"/>
              </w:rPr>
            </w:pPr>
          </w:p>
        </w:tc>
        <w:tc>
          <w:tcPr>
            <w:tcW w:w="680" w:type="dxa"/>
            <w:vAlign w:val="bottom"/>
          </w:tcPr>
          <w:p>
            <w:pPr>
              <w:ind w:left="320"/>
              <w:spacing w:after="0" w:line="13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ind w:left="2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NVHI common stock.</w:t>
      </w:r>
    </w:p>
    <w:p>
      <w:pPr>
        <w:spacing w:after="0" w:line="45" w:lineRule="exact"/>
        <w:rPr>
          <w:rFonts w:ascii="Times New Roman" w:cs="Times New Roman" w:eastAsia="Times New Roman" w:hAnsi="Times New Roman"/>
          <w:sz w:val="13"/>
          <w:szCs w:val="13"/>
          <w:color w:val="008000"/>
        </w:rPr>
      </w:pPr>
    </w:p>
    <w:p>
      <w:pPr>
        <w:ind w:left="40" w:right="58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2, 2023, 2,078 restricted stock units vested and 614 shares of the Company's common stock were withheld to satisfy tax withholding obligations. The closing price on March 2, 2023 of the Company's common stock on NASDAQ was $22.88 per share.</w:t>
      </w:r>
    </w:p>
    <w:p>
      <w:pPr>
        <w:spacing w:after="0" w:line="15" w:lineRule="exact"/>
        <w:rPr>
          <w:rFonts w:ascii="Times New Roman" w:cs="Times New Roman" w:eastAsia="Times New Roman" w:hAnsi="Times New Roman"/>
          <w:sz w:val="13"/>
          <w:szCs w:val="13"/>
          <w:color w:val="008000"/>
        </w:rPr>
      </w:pPr>
    </w:p>
    <w:p>
      <w:pPr>
        <w:ind w:left="40" w:right="14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earned by the reporting person pursuant to certain performance restricted stock units (the "PSUs"), which were granted to the reporting person on February 28, 2020. The PSUs were earned based on the attainment of certain performance metrics, which performance metrics were certified by the Compensation Committee of the Board of Directors of the Company on March 2, 2023.</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performance restricted stock unit represents a right to receive one share of NVHI common stock.</w:t>
      </w:r>
    </w:p>
    <w:p>
      <w:pPr>
        <w:spacing w:after="0" w:line="45" w:lineRule="exact"/>
        <w:rPr>
          <w:rFonts w:ascii="Times New Roman" w:cs="Times New Roman" w:eastAsia="Times New Roman" w:hAnsi="Times New Roman"/>
          <w:sz w:val="13"/>
          <w:szCs w:val="13"/>
          <w:color w:val="008000"/>
        </w:rPr>
      </w:pPr>
    </w:p>
    <w:p>
      <w:pPr>
        <w:ind w:left="40" w:right="18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2, 2023, 3,883 PSUs vested and 1,352 shares of the Company's common stock were withheld to satisfy tax withholding obligations. The closing price on March 2, 2023 of the Company's common stock on NASDAQ was $22.88 per share.</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2, 2022, the reporting person was granted 6,234 restricted stock units, vesting in three equal annual installments beginning on the first anniversary of the grant 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7"/>
              </w:rPr>
              <w:t>/s/ Jared Brandman</w:t>
            </w:r>
          </w:p>
        </w:tc>
        <w:tc>
          <w:tcPr>
            <w:tcW w:w="900" w:type="dxa"/>
            <w:vAlign w:val="bottom"/>
          </w:tcPr>
          <w:p>
            <w:pPr>
              <w:spacing w:after="0"/>
              <w:rPr>
                <w:sz w:val="17"/>
                <w:szCs w:val="17"/>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03/06/2023</w:t>
            </w:r>
          </w:p>
        </w:tc>
      </w:tr>
      <w:tr>
        <w:trPr>
          <w:trHeight w:val="230"/>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67639" TargetMode="External"/><Relationship Id="rId13" Type="http://schemas.openxmlformats.org/officeDocument/2006/relationships/hyperlink" Target="http://www.sec.gov/cgi-bin/browse-edgar?action=getcompany&amp;CIK=00017101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2023-03-06T16:56:27Z</dcterms:created>
  <dcterms:modified xsi:type="dcterms:W3CDTF">2023-03-06T16:56:27Z</dcterms:modified>
</cp:coreProperties>
</file>