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4968875</wp:posOffset>
            </wp:positionH>
            <wp:positionV relativeFrom="paragraph">
              <wp:posOffset>-486410</wp:posOffset>
            </wp:positionV>
            <wp:extent cx="6350" cy="487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87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3639820</wp:posOffset>
            </wp:positionH>
            <wp:positionV relativeFrom="paragraph">
              <wp:posOffset>-492760</wp:posOffset>
            </wp:positionV>
            <wp:extent cx="6350" cy="493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49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3659505</wp:posOffset>
            </wp:positionH>
            <wp:positionV relativeFrom="paragraph">
              <wp:posOffset>-473075</wp:posOffset>
            </wp:positionV>
            <wp:extent cx="1296035" cy="454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45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-1991360</wp:posOffset>
            </wp:positionH>
            <wp:positionV relativeFrom="paragraph">
              <wp:posOffset>26035</wp:posOffset>
            </wp:positionV>
            <wp:extent cx="6993890" cy="1401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140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PEELER D RANDOLPH</w:t>
        </w:r>
      </w:hyperlink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BERKSHIRE PARTNERS LLC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 CLARENDON STREET, 35TH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2.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4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National Vision Holdings,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EYE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08/10/2020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33" w:space="720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BOSTON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02116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The 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28,410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35.2319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28,410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Randolph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Peeler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- 2001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42,867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-2195195</wp:posOffset>
            </wp:positionV>
            <wp:extent cx="6993890" cy="22307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223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20" w:hanging="6"/>
        <w:spacing w:after="0" w:line="269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Price represents the weighted average price. The shares were purchased pursuant to a single order in multiple transactions at prices ranging from $34.985 to $35.40. Upon request by the SEC staff, the issuer or a security holder of the issuer, the reporting person will provide full information regarding the number of shares purchased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Exhibit List: Exhibit 24 - Power of Attorney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Jared Brandman, as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08/12/2020</w:t>
            </w: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572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2020-08-12T10:20:16Z</dcterms:created>
  <dcterms:modified xsi:type="dcterms:W3CDTF">2020-08-12T10:20:16Z</dcterms:modified>
</cp:coreProperties>
</file>