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Earliest Event reported):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31, 2017 (October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National Vision Holdings,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001-38257</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00" w:space="720"/>
            <w:col w:w="2860" w:space="720"/>
            <w:col w:w="3120"/>
          </w:cols>
          <w:pgMar w:left="240" w:top="535" w:right="23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of incorporation)</w:t>
      </w:r>
    </w:p>
    <w:p>
      <w:pPr>
        <w:spacing w:after="0" w:line="23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(Address, including zip code, and telephone number,</w:t>
      </w:r>
    </w:p>
    <w:p>
      <w:pPr>
        <w:spacing w:after="0" w:line="21" w:lineRule="exact"/>
        <w:rPr>
          <w:sz w:val="24"/>
          <w:szCs w:val="24"/>
          <w:color w:val="auto"/>
        </w:rPr>
      </w:pPr>
    </w:p>
    <w:p>
      <w:pPr>
        <w:ind w:left="3340"/>
        <w:spacing w:after="0"/>
        <w:rPr>
          <w:sz w:val="20"/>
          <w:szCs w:val="20"/>
          <w:color w:val="auto"/>
        </w:rPr>
      </w:pPr>
      <w:r>
        <w:rPr>
          <w:rFonts w:ascii="Arial" w:cs="Arial" w:eastAsia="Arial" w:hAnsi="Arial"/>
          <w:sz w:val="16"/>
          <w:szCs w:val="16"/>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90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4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r>
      <w:tr>
        <w:trPr>
          <w:trHeight w:val="392"/>
        </w:trPr>
        <w:tc>
          <w:tcPr>
            <w:tcW w:w="11420" w:type="dxa"/>
            <w:vAlign w:val="bottom"/>
            <w:gridSpan w:val="3"/>
          </w:tcPr>
          <w:p>
            <w:pPr>
              <w:ind w:left="66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r>
      <w:tr>
        <w:trPr>
          <w:trHeight w:val="283"/>
        </w:trPr>
        <w:tc>
          <w:tcPr>
            <w:tcW w:w="7640" w:type="dxa"/>
            <w:vAlign w:val="bottom"/>
            <w:gridSpan w:val="2"/>
          </w:tcPr>
          <w:p>
            <w:pPr>
              <w:spacing w:after="0"/>
              <w:rPr>
                <w:sz w:val="20"/>
                <w:szCs w:val="20"/>
                <w:color w:val="auto"/>
              </w:rPr>
            </w:pPr>
            <w:r>
              <w:rPr>
                <w:rFonts w:ascii="Arial" w:cs="Arial" w:eastAsia="Arial" w:hAnsi="Arial"/>
                <w:sz w:val="18"/>
                <w:szCs w:val="18"/>
                <w:color w:val="auto"/>
                <w:w w:val="93"/>
              </w:rPr>
              <w:t>new or revised financial accounting standards provided pursuant to Section 13(a) of the Exchange Act.</w:t>
            </w:r>
          </w:p>
        </w:tc>
        <w:tc>
          <w:tcPr>
            <w:tcW w:w="37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91"/>
        </w:trPr>
        <w:tc>
          <w:tcPr>
            <w:tcW w:w="29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163"/>
        </w:trPr>
        <w:tc>
          <w:tcPr>
            <w:tcW w:w="290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r>
      <w:tr>
        <w:trPr>
          <w:trHeight w:val="520"/>
        </w:trPr>
        <w:tc>
          <w:tcPr>
            <w:tcW w:w="29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Amended and Restated Stockholders’ Agreement</w:t>
      </w:r>
    </w:p>
    <w:p>
      <w:pPr>
        <w:spacing w:after="0" w:line="24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connection with the completion of the initial public offering (the “Offering”) of its common stock, par value $0.01 per share (“Common Stock”), described in the Registration Statement on Form S-1 (File No. 333-220719), as amended (the “Registration Statement”), on October 30, 2017, National Vision Holdings, Inc. (the “Company”) entered into an Amended and Restated Stockholders’ Agreement (the “Stockholders’ Agreement”) among the Company, KKR Vision Aggregator L.P., Berkshire Fund VI, Limited Partnership, Berkshire Investors LLC and Berkshire Investors III LLC.</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 copy of the Stockholders’ Agreement is filed herewith as Exhibit 4.1 and is incorporated herein by reference. The terms of the Stockholders’ Agreement is substantially the same as the terms set forth in the form of such agreement filed as Exhibit 10.1 to the Registration Statement and as described therein.</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Affiliates of KKR Vision Aggregator L.P., Berkshire Fund VI, Limited Partnership, Berkshire Investors LLC and Berkshire Investors III LLC have various relationships with the Company. For further information concerning the other material relationships between the Company, on the one hand, and KKR Vision Aggregator L.P., Berkshire Fund VI, Limited Partnership, Berkshire Investors LLC and Berkshire Investors III LLC and their affiliates, on the other hand, see the section entitled “Certain Relationships and Related Party Transactions” in the Company’s prospectus (the “Prospectus”), dated October 25, 2017, filed pursuant to Rule 424(b) of the Securities Act of 1933, as amended (the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Agreement</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October 31, 2017, the credit agreement dated as of March 13, 2014 (as amended, the “Credit Agreement”), among Nautilus Acquisition Holdings, Inc., a Delaware corporation and a wholly-owned subsidiary of the Company (“Holdings”), National Vision, Inc., a Georgia corporation and a wholly-owned subsidiary of the Company, Goldman Sachs Bank USA, as administrative agent, collateral agent, swingline lender and letter of credit issuer, and the lenders from time to time party thereto and the other parties thereto, was amended pursuant to a joinder and amendment agreement to (A) increase the size of the first lien revolving credit facility thereunder from $75.0 million to up to $100.0 million and (B) extend the maturity of such facility to October 15, 2022 (subject to customary springing maturity provisions to the extent the existing first lien term loans are not extended).</w:t>
      </w:r>
    </w:p>
    <w:p>
      <w:pPr>
        <w:spacing w:after="0" w:line="2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copy of the joinder and amendment agreement is filed herewith as Exhibit 10.1 and incorporated herein by reference. The above description of the amendment to the first lien revolving credit facility is not complete and is qualified in its entirety by reference to such exhibit.</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Monitoring Agreement</w:t>
      </w:r>
    </w:p>
    <w:p>
      <w:pPr>
        <w:spacing w:after="0" w:line="252"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The Company was party to a Monitoring Agreement, dated as of March 13, 2014 (the “Monitoring Agreement”), by and among National Vision, Inc., Kohlberg Kravis Roberts &amp; Co. L.P. (“KKR”) and Berkshire Partners LLC (“Berkshire”), which was terminated automatically in accordance with its terms upon the completion of the Offering. In connection with such termination, the Company will pay termination fees of approximately $3.6 million and $0.8 million to KKR and Berkshire, respectively.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 affiliate of KKR is a controlling stockholder of the Company and an affiliate of KKR acted as underwriter in connection with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tabs>
          <w:tab w:leader="none" w:pos="11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“Amendment to Credit Agreement” of Item 1.01 above is incorporated by reference in this Item 2.03.</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4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information set forth under “Amended and Restated Stockholders’ Agreement” of Item 1.01 above and Item 5.03 below is incorporated by reference in this Item 3.03.</w:t>
      </w:r>
    </w:p>
    <w:p>
      <w:pPr>
        <w:spacing w:after="0" w:line="203" w:lineRule="exact"/>
        <w:rPr>
          <w:sz w:val="20"/>
          <w:szCs w:val="20"/>
          <w:color w:val="auto"/>
        </w:rPr>
      </w:pPr>
    </w:p>
    <w:p>
      <w:pPr>
        <w:ind w:left="1160" w:right="10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Omnibus Incentive Plan</w:t>
      </w:r>
    </w:p>
    <w:p>
      <w:pPr>
        <w:spacing w:after="0" w:line="252"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In connection with the Offering, the Company’s Board of Directors and its stockholders adopted the National Vision Holdings, Inc. 2017 Omnibus Incentive Plan (the “Omnibus Incentive Plan”). The Omnibus Incentive Plan provides for the granting of stock options, stock appreciation rights, restricted stock, restricted stock units and other stock-based or cash-based awards to key employees, directors or other persons having a service relationship with the Company and its subsidiaries. For further information regarding the Omnibus Incentive Plan, see “Management—Executive Compensation—Narrative to Summary Compensation Table and 2016 Grants of Plan-Based Awards—Equity Incentive Plans” in the Prospectus.</w:t>
      </w:r>
    </w:p>
    <w:p>
      <w:pPr>
        <w:spacing w:after="0" w:line="18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 copy of the Omnibus Incentive Plan is attached as Exhibit 10.2 and incorporated herein by reference. The above description of the Omnibus Incentive Plan is not complete and is qualified in its entirety by reference to such exhibit.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Grants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connection with the Offering, on October 25, 2017, the Company granted 92,443 stock options pursuant to the Omnibus Incentive Plan to Patrick Moore, its Senior Vice President, Chief Financial Officer.</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56"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As contemplated in the Registration Statement, the Company’s Second Amended and Restated Certificate of Incorporation (the “Charter”) became effective in connection with the completion of the Offering on October 30, 2017. The Charter, among other things, provides that the Company’s authorized capital stock consists of 200,000,000 shares of Common Stock, and 50,000,000 shares of preferred stock, par value $0.01 per share.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bylaws (the “Bylaws”) were also amended and restated as of October 30, 2017, as contemplated in the Registration Statement.</w:t>
      </w:r>
    </w:p>
    <w:p>
      <w:pPr>
        <w:spacing w:after="0" w:line="27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For further information regarding the foregoing and other provisions of the Charter and the Bylaws, see “Description of Capital Stock” in the Prospectus. The Charter and the Bylaws are filed herewith as Exhibit 3.1 and Exhibit 3.2, respectively, and such exhibits are incorporated by reference herein.</w:t>
      </w:r>
    </w:p>
    <w:p>
      <w:pPr>
        <w:spacing w:after="0" w:line="14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October 30, 2017, the Company completed its Offering of 18,170,000 shares (including 2,370,000 shares pursuant to the underwriters’ option to purchase additional shares) of Common Stock for cash consideration of $22.00 per share ($20.68 per share, net of underwriting discounts) to a syndicate of underwriters led by joint-book running managers Merrill Lynch, Pierce, Fenner &amp; Smith Incorporated, Goldman Sachs &amp; Co. LLC and Citigroup Global Markets Inc., resulting in approximately $371.4 million in net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ind w:firstLine="648"/>
        <w:spacing w:after="0" w:line="264" w:lineRule="auto"/>
        <w:rPr>
          <w:sz w:val="20"/>
          <w:szCs w:val="20"/>
          <w:color w:val="auto"/>
        </w:rPr>
      </w:pPr>
      <w:r>
        <w:rPr>
          <w:rFonts w:ascii="Arial" w:cs="Arial" w:eastAsia="Arial" w:hAnsi="Arial"/>
          <w:sz w:val="18"/>
          <w:szCs w:val="18"/>
          <w:color w:val="auto"/>
        </w:rPr>
        <w:t>On October 31, 2017, using proceeds from the Offering, the Company repaid all $125.0 million outstanding aggregate amount of the Company’s second lien term loans and approximately $235.0 million of the outstanding amount of the Company’s first lien term loans and accrued and unpaid interest thereon.</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1160" w:type="dxa"/>
            <w:vAlign w:val="bottom"/>
            <w:gridSpan w:val="4"/>
          </w:tcPr>
          <w:p>
            <w:pPr>
              <w:spacing w:after="0"/>
              <w:rPr>
                <w:sz w:val="20"/>
                <w:szCs w:val="20"/>
                <w:color w:val="auto"/>
              </w:rPr>
            </w:pPr>
            <w:r>
              <w:rPr>
                <w:rFonts w:ascii="Arial" w:cs="Arial" w:eastAsia="Arial" w:hAnsi="Arial"/>
                <w:sz w:val="18"/>
                <w:szCs w:val="18"/>
                <w:color w:val="auto"/>
              </w:rPr>
              <w:t>Exhibit No.</w:t>
            </w:r>
          </w:p>
        </w:tc>
        <w:tc>
          <w:tcPr>
            <w:tcW w:w="102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60" w:type="dxa"/>
            <w:vAlign w:val="bottom"/>
            <w:gridSpan w:val="2"/>
          </w:tcPr>
          <w:p>
            <w:pPr>
              <w:spacing w:after="0" w:line="196" w:lineRule="exact"/>
              <w:rPr>
                <w:sz w:val="20"/>
                <w:szCs w:val="20"/>
                <w:color w:val="auto"/>
              </w:rPr>
            </w:pPr>
            <w:r>
              <w:rPr>
                <w:rFonts w:ascii="Arial" w:cs="Arial" w:eastAsia="Arial" w:hAnsi="Arial"/>
                <w:sz w:val="18"/>
                <w:szCs w:val="18"/>
                <w:color w:val="auto"/>
              </w:rPr>
              <w:t>Second Amended and Restated Certificate of Incorporation of National Vision Holdings, Inc.</w:t>
            </w: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Second Amended and Restated Bylaws of National Vision Holdings, Inc.</w:t>
            </w: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Amended and Restated Stockholders’ Agreement, dated as of October 30, 2017, by and among National Vision Holdings, Inc. and the</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stockholders party thereto</w:t>
            </w:r>
          </w:p>
        </w:tc>
      </w:tr>
      <w:tr>
        <w:trPr>
          <w:trHeight w:val="392"/>
        </w:trPr>
        <w:tc>
          <w:tcPr>
            <w:tcW w:w="84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Joinder and Amendment Agreement, dated as of October 31, 2017, among National Vision, Inc., as borrower, the guarantors party thereto,</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each revolving credit lender, Goldman Sachs Bank USA, as administrative agent, collateral agent, swingline lender and a letter of credit</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issuer, Bank of America, N.A., as a letter of credit issuer, and Citibank, N.A., as a letter of credit issuer</w:t>
            </w:r>
          </w:p>
        </w:tc>
      </w:tr>
      <w:tr>
        <w:trPr>
          <w:trHeight w:val="392"/>
        </w:trPr>
        <w:tc>
          <w:tcPr>
            <w:tcW w:w="840" w:type="dxa"/>
            <w:vAlign w:val="bottom"/>
            <w:gridSpan w:val="3"/>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3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National Vision Holdings, Inc. 2017 Omnibus Incentive Plan</w:t>
            </w:r>
          </w:p>
        </w:tc>
      </w:tr>
      <w:tr>
        <w:trPr>
          <w:trHeight w:val="446"/>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p>
      <w:pPr>
        <w:spacing w:after="0"/>
        <w:tabs>
          <w:tab w:leader="none" w:pos="5680" w:val="left"/>
          <w:tab w:leader="none" w:pos="6260" w:val="left"/>
        </w:tabs>
        <w:rPr>
          <w:sz w:val="20"/>
          <w:szCs w:val="20"/>
          <w:color w:val="auto"/>
        </w:rPr>
      </w:pPr>
      <w:r>
        <w:rPr>
          <w:rFonts w:ascii="Arial" w:cs="Arial" w:eastAsia="Arial" w:hAnsi="Arial"/>
          <w:sz w:val="18"/>
          <w:szCs w:val="18"/>
          <w:color w:val="auto"/>
        </w:rPr>
        <w:t>Date: October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Mitchell Goodman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-130175</wp:posOffset>
            </wp:positionV>
            <wp:extent cx="32670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7"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121" w:right="7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present name of the corporation is National Vision Holdings,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The Corporation was incorporated under the name “Nautilus Parent, Inc.” by the filing of its original Certificate of Incorporation with the Secretary of State of the State of Delaware on February 14, 2014, which was amended and restated on March 10, 2014 (as amended, the “</w:t>
      </w:r>
      <w:r>
        <w:rPr>
          <w:rFonts w:ascii="Arial" w:cs="Arial" w:eastAsia="Arial" w:hAnsi="Arial"/>
          <w:sz w:val="17"/>
          <w:szCs w:val="17"/>
          <w:u w:val="single" w:color="auto"/>
          <w:color w:val="auto"/>
        </w:rPr>
        <w:t>First Amended and Restated Certificate of Incorporation</w:t>
      </w:r>
      <w:r>
        <w:rPr>
          <w:rFonts w:ascii="Arial" w:cs="Arial" w:eastAsia="Arial" w:hAnsi="Arial"/>
          <w:sz w:val="17"/>
          <w:szCs w:val="17"/>
          <w:color w:val="auto"/>
        </w:rPr>
        <w:t>”). The First Amended and Restated Certificate of Incorporation was amended on June 28, 2017 to change the name of the Corporation from “Nautilus Parent, Inc.” to “National Vision Holdings, Inc.” The First Amended and Restated Certificate of Incorporation was amended on October 24, 2017 to effect a 1.96627-for-one reverse stock split of the then-outstanding common stock, par value $0.01 per share, of the Corporation. This Second Amended and Restated Certificate of Incorporation of the Corporation, which restates and integrates and also further amends the provisions of the First Amended and Restated Certificate of Incorporation, was duly adopted in accordance with the provisions of Sections 242 and 245 of the General Corporation Law of the State of Delaware and by the written consent of its stockholders in accordance with Section 228 of the General Corporation Law of the State of Delaware. The First Amended and Restated Certificate of Incorporation is hereby amended, integrated and restated to read in its entirety as follows: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ind w:left="5440"/>
        <w:spacing w:after="0"/>
        <w:rPr>
          <w:sz w:val="20"/>
          <w:szCs w:val="20"/>
          <w:color w:val="auto"/>
        </w:rPr>
      </w:pPr>
      <w:r>
        <w:rPr>
          <w:rFonts w:ascii="Arial" w:cs="Arial" w:eastAsia="Arial" w:hAnsi="Arial"/>
          <w:sz w:val="18"/>
          <w:szCs w:val="18"/>
          <w:b w:val="1"/>
          <w:bCs w:val="1"/>
          <w:u w:val="single" w:color="auto"/>
          <w:color w:val="auto"/>
        </w:rPr>
        <w:t>NAME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National Vision Holdings,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OFFICE AND AGENT</w:t>
      </w:r>
    </w:p>
    <w:p>
      <w:pPr>
        <w:spacing w:after="0" w:line="256"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The address of the registered office of the Corporation in the State of Delaware is Corporation Service Company, 251 Little Falls Drive in the City of Wilmington, County of New Castle, Delaware 19808. The name of the registered agent of the Corporation in the State of Delaware at such address is Corporation Service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w:t>
      </w:r>
    </w:p>
    <w:p>
      <w:pPr>
        <w:spacing w:after="0" w:line="256"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the same exists or may hereafter be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56"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The total number of shares of all classes of stock that the Corporation shall have authority to issue is 250,000,000, which shall be divided into two classes as follows: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200,000,000 shares of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50,000,000 shares of preferred stock, par value $0.01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7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w:t>
      </w:r>
    </w:p>
    <w:p>
      <w:pPr>
        <w:spacing w:after="0" w:line="279" w:lineRule="exact"/>
        <w:rPr>
          <w:rFonts w:ascii="Arial" w:cs="Arial" w:eastAsia="Arial" w:hAnsi="Arial"/>
          <w:sz w:val="18"/>
          <w:szCs w:val="18"/>
          <w:b w:val="1"/>
          <w:bCs w:val="1"/>
          <w:color w:val="auto"/>
        </w:rPr>
      </w:pPr>
    </w:p>
    <w:p>
      <w:pPr>
        <w:ind w:firstLine="656"/>
        <w:spacing w:after="0" w:line="270" w:lineRule="auto"/>
        <w:tabs>
          <w:tab w:leader="none" w:pos="1363" w:val="left"/>
        </w:tabs>
        <w:numPr>
          <w:ilvl w:val="1"/>
          <w:numId w:val="3"/>
        </w:numPr>
        <w:rPr>
          <w:rFonts w:ascii="Arial" w:cs="Arial" w:eastAsia="Arial" w:hAnsi="Arial"/>
          <w:sz w:val="17"/>
          <w:szCs w:val="17"/>
          <w:color w:val="auto"/>
        </w:rPr>
      </w:pPr>
      <w:r>
        <w:rPr>
          <w:rFonts w:ascii="Arial" w:cs="Arial" w:eastAsia="Arial" w:hAnsi="Arial"/>
          <w:sz w:val="17"/>
          <w:szCs w:val="17"/>
          <w:color w:val="auto"/>
        </w:rPr>
        <w:t>Common Stock and Preferred Stock may be issued from time to time by the Corporation for such consideration as may be fixed by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 such series of Preferred Stock and the number of shares of such series, which number the Board of Directors may, except where otherwise provided in the designation of such series, increase (but not above the total number of authorized shares of Preferred Stock) or decrease (but not below the number of shares of such series then outstanding)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235" w:lineRule="exact"/>
        <w:rPr>
          <w:rFonts w:ascii="Arial" w:cs="Arial" w:eastAsia="Arial" w:hAnsi="Arial"/>
          <w:sz w:val="17"/>
          <w:szCs w:val="17"/>
          <w:color w:val="auto"/>
        </w:rPr>
      </w:pPr>
    </w:p>
    <w:p>
      <w:pPr>
        <w:ind w:firstLine="656"/>
        <w:spacing w:after="0" w:line="293" w:lineRule="auto"/>
        <w:tabs>
          <w:tab w:leader="none" w:pos="1354" w:val="left"/>
        </w:tabs>
        <w:numPr>
          <w:ilvl w:val="1"/>
          <w:numId w:val="3"/>
        </w:numPr>
        <w:rPr>
          <w:rFonts w:ascii="Arial" w:cs="Arial" w:eastAsia="Arial" w:hAnsi="Arial"/>
          <w:sz w:val="16"/>
          <w:szCs w:val="16"/>
          <w:color w:val="auto"/>
        </w:rPr>
      </w:pPr>
      <w:r>
        <w:rPr>
          <w:rFonts w:ascii="Arial" w:cs="Arial" w:eastAsia="Arial" w:hAnsi="Arial"/>
          <w:sz w:val="16"/>
          <w:szCs w:val="16"/>
          <w:color w:val="auto"/>
        </w:rPr>
        <w:t>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Second Amended and Restated Certificate of Incorporation (including any certificate of designation relating to any series of Preferred Stock) or pursuant to the DGCL.</w:t>
      </w:r>
    </w:p>
    <w:p>
      <w:pPr>
        <w:spacing w:after="0" w:line="218" w:lineRule="exact"/>
        <w:rPr>
          <w:rFonts w:ascii="Arial" w:cs="Arial" w:eastAsia="Arial" w:hAnsi="Arial"/>
          <w:sz w:val="16"/>
          <w:szCs w:val="16"/>
          <w:color w:val="auto"/>
        </w:rPr>
      </w:pPr>
    </w:p>
    <w:p>
      <w:pPr>
        <w:ind w:firstLine="656"/>
        <w:spacing w:after="0" w:line="264" w:lineRule="auto"/>
        <w:tabs>
          <w:tab w:leader="none" w:pos="1354" w:val="left"/>
        </w:tabs>
        <w:numPr>
          <w:ilvl w:val="1"/>
          <w:numId w:val="3"/>
        </w:numPr>
        <w:rPr>
          <w:rFonts w:ascii="Arial" w:cs="Arial" w:eastAsia="Arial" w:hAnsi="Arial"/>
          <w:sz w:val="18"/>
          <w:szCs w:val="18"/>
          <w:color w:val="auto"/>
        </w:rPr>
      </w:pPr>
      <w:r>
        <w:rPr>
          <w:rFonts w:ascii="Arial" w:cs="Arial" w:eastAsia="Arial" w:hAnsi="Arial"/>
          <w:sz w:val="18"/>
          <w:szCs w:val="18"/>
          <w:color w:val="auto"/>
        </w:rPr>
        <w:t>Except as otherwise required by law, holders of any series of Preferred Stock shall be entitled to only such voting rights, if any, as shall expressly be granted thereto by this Second Amended and Restated Certificate of Incorporation (including any certificate of designation relating to such series of Preferred Stock).</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8" w:name="page9"/>
    <w:bookmarkEnd w:id="8"/>
    <w:p>
      <w:pPr>
        <w:ind w:left="-40" w:right="60" w:firstLine="656"/>
        <w:spacing w:after="0" w:line="259" w:lineRule="auto"/>
        <w:tabs>
          <w:tab w:leader="none" w:pos="1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240" w:lineRule="exact"/>
        <w:rPr>
          <w:rFonts w:ascii="Arial" w:cs="Arial" w:eastAsia="Arial" w:hAnsi="Arial"/>
          <w:sz w:val="18"/>
          <w:szCs w:val="18"/>
          <w:color w:val="auto"/>
        </w:rPr>
      </w:pPr>
    </w:p>
    <w:p>
      <w:pPr>
        <w:ind w:left="-40" w:firstLine="656"/>
        <w:spacing w:after="0" w:line="257" w:lineRule="auto"/>
        <w:tabs>
          <w:tab w:leader="none" w:pos="1303"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242" w:lineRule="exact"/>
        <w:rPr>
          <w:rFonts w:ascii="Arial" w:cs="Arial" w:eastAsia="Arial" w:hAnsi="Arial"/>
          <w:sz w:val="18"/>
          <w:szCs w:val="18"/>
          <w:color w:val="auto"/>
        </w:rPr>
      </w:pPr>
    </w:p>
    <w:p>
      <w:pPr>
        <w:ind w:left="-40" w:right="60" w:firstLine="656"/>
        <w:spacing w:after="0" w:line="276" w:lineRule="auto"/>
        <w:tabs>
          <w:tab w:leader="none" w:pos="127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Common Stock or the Preferred Stock voting separately as a class shall be required therefor, unless a vote of any such holder is required pursuant to this Second Amended and Restated Certificate of Incorporation (including any certificate of designation relating to any series of Preferred Stock).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THE CERTIFICATE OF INCORPORATION AND BYLAWS</w:t>
      </w:r>
    </w:p>
    <w:p>
      <w:pPr>
        <w:spacing w:after="0" w:line="283" w:lineRule="exact"/>
        <w:rPr>
          <w:sz w:val="20"/>
          <w:szCs w:val="20"/>
          <w:color w:val="auto"/>
        </w:rPr>
      </w:pPr>
    </w:p>
    <w:p>
      <w:pPr>
        <w:ind w:left="-40" w:right="60" w:firstLine="656"/>
        <w:spacing w:after="0" w:line="287" w:lineRule="auto"/>
        <w:tabs>
          <w:tab w:leader="none" w:pos="1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so long as KKR and Berkshire (each as defined below) beneficially own collectively, in the aggregate, at least 40% in voting power of the stock of the Corporation entitled to vote generally in the election of directors, in addition to any vote required by applicable law, this Second Amended and Restated Certificate of Incorporation may be amended, altered, repealed or rescinded, in whole or in part, or any provision inconsistent therewith or herewith may be adopted, by the affirmative vote of the holders of a majority in voting power of all the then-outstanding shares of stock of the Corporation entitled to vote thereon, voting together as a single class. Notwithstanding anything contained in this Second Amended and Restated Certificate of Incorporation to the contrary, at any time when KKR and Berkshire (each as defined below) beneficially own collectively, in the aggregate, less than 40% in voting power of the stock of the Corporation entitled to vote generally in the election of directors, in addition to any vote required by applicable law, the following provisions in this Second Amended and Restated Certificate of Incorporation may be amended, altered, repealed or rescinded, in whole or in part, or any provision inconsistent therewith or herewith may be adopted, only by the affirmative vote of the holders of at least 66⅔% in voting power of all the then-outstanding shares of stock of the Corporation entitled to vote thereon, voting together as a single class: this Article V, Article VI, Article VII, Article VIII, Article IX and Article X. For the purposes of this Second Amended and Restated Certificate of Incorporation, beneficial ownership of shares shall be determined in accordance with Rule 13d-3 promulgated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9" w:name="page10"/>
    <w:bookmarkEnd w:id="9"/>
    <w:p>
      <w:pPr>
        <w:ind w:left="-20" w:firstLine="656"/>
        <w:spacing w:after="0" w:line="286" w:lineRule="auto"/>
        <w:tabs>
          <w:tab w:leader="none" w:pos="133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of Directors is expressly authorized to make, repeal, alter, amend and rescind, in whole or in part, the amended and restated bylaws of the Corporation (as in effect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without the assent or vote of the stockholders in any manner not inconsistent with the laws of the State of Delaware or this Second Amended and Restated Certificate of Incorporation. For so long as KKR and Berkshire (each as defined below) beneficially own collectively, in the aggregate, at least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by the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 Notwithstanding anything to the contrary contained in this Second Amended and Restated Certificate of Incorporation or any provision of law which might otherwise permit a lesser vote of the stockholders, at any time when KKR and Berkshire (each as defined below) beneficially own collectively,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by the Bylaws or applicable law, the affirmative vote of the holders of at least 66⅔%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83" w:lineRule="exact"/>
        <w:rPr>
          <w:sz w:val="20"/>
          <w:szCs w:val="20"/>
          <w:color w:val="auto"/>
        </w:rPr>
      </w:pPr>
    </w:p>
    <w:p>
      <w:pPr>
        <w:ind w:left="-20" w:right="20" w:firstLine="656"/>
        <w:spacing w:after="0" w:line="285" w:lineRule="auto"/>
        <w:tabs>
          <w:tab w:leader="none" w:pos="1343"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otherwise provided in this Second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w:t>
      </w:r>
      <w:r>
        <w:rPr>
          <w:rFonts w:ascii="Arial" w:cs="Arial" w:eastAsia="Arial" w:hAnsi="Arial"/>
          <w:sz w:val="16"/>
          <w:szCs w:val="16"/>
          <w:u w:val="single" w:color="auto"/>
          <w:color w:val="auto"/>
        </w:rPr>
        <w:t>IPO Date</w:t>
      </w:r>
      <w:r>
        <w:rPr>
          <w:rFonts w:ascii="Arial" w:cs="Arial" w:eastAsia="Arial" w:hAnsi="Arial"/>
          <w:sz w:val="16"/>
          <w:szCs w:val="16"/>
          <w:color w:val="auto"/>
        </w:rPr>
        <w:t>”), Class II directors shall initially serve for a term expiring at the second annual meeting of stockholders following the IPO Date and Class III directors shall initially serve for a term expiring at the third annual meeting of stockholders following the IPO Date.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Subject to the terms of the Stockholders Agreement (as defined below), any such director shall hold office until the annual meeting at which his or her term expires and until his or her successor shall be elected and qualified, or his or her death, resignation, retirement, disqualification or removal from office. The Board of Directors is authorized to assign members of the Board of Directors already in office prior to the IPO Date to their respective class.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10" w:name="page11"/>
    <w:bookmarkEnd w:id="10"/>
    <w:p>
      <w:pPr>
        <w:ind w:firstLine="656"/>
        <w:spacing w:after="0" w:line="286" w:lineRule="auto"/>
        <w:tabs>
          <w:tab w:leader="none" w:pos="1354"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Subject to the rights granted to the holders of any one or more series of Preferred Stock then outstanding or the rights granted pursuant to the Stockholders Agreement, dated as of October 30, 2017 (as the same may be amended, supplemented, restated or otherwise modified from time to time,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by and among the Corporation, certain affiliates of Kohlberg Kravis Roberts &amp; Co. L.P. (together with its affiliates and subsidiaries and its and their successors and assigns (other than the Corporation and its subsidiaries), collectively, “</w:t>
      </w:r>
      <w:r>
        <w:rPr>
          <w:rFonts w:ascii="Arial" w:cs="Arial" w:eastAsia="Arial" w:hAnsi="Arial"/>
          <w:sz w:val="16"/>
          <w:szCs w:val="16"/>
          <w:u w:val="single" w:color="auto"/>
          <w:color w:val="auto"/>
        </w:rPr>
        <w:t>KKR</w:t>
      </w:r>
      <w:r>
        <w:rPr>
          <w:rFonts w:ascii="Arial" w:cs="Arial" w:eastAsia="Arial" w:hAnsi="Arial"/>
          <w:sz w:val="16"/>
          <w:szCs w:val="16"/>
          <w:color w:val="auto"/>
        </w:rPr>
        <w:t>”) and private equity funds managed by Berkshire Partners LLC (together with its affiliates and subsidiaries and its and their successors and assigns (other than the Corporation and its subsidiaries), collectively, “</w:t>
      </w:r>
      <w:r>
        <w:rPr>
          <w:rFonts w:ascii="Arial" w:cs="Arial" w:eastAsia="Arial" w:hAnsi="Arial"/>
          <w:sz w:val="16"/>
          <w:szCs w:val="16"/>
          <w:u w:val="single" w:color="auto"/>
          <w:color w:val="auto"/>
        </w:rPr>
        <w:t>Berkshire</w:t>
      </w:r>
      <w:r>
        <w:rPr>
          <w:rFonts w:ascii="Arial" w:cs="Arial" w:eastAsia="Arial" w:hAnsi="Arial"/>
          <w:sz w:val="16"/>
          <w:szCs w:val="16"/>
          <w:color w:val="auto"/>
        </w:rPr>
        <w:t xml:space="preserve">”), any newly-created directorship on the Board of Directors that results from an increase in the number of directors and any vacancy occurring on the Board of Directors (whether by death, resignation, retirement, disqualification, removal or other cause) shall be filled by a majority of the directors then in office,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when KKR and Berkshire beneficially own collectively, in the aggregate, less than 40% in voting power of the stock of the Corporation entitled to vote generally in the election of directors, any newly-created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even if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225" w:lineRule="exact"/>
        <w:rPr>
          <w:rFonts w:ascii="Arial" w:cs="Arial" w:eastAsia="Arial" w:hAnsi="Arial"/>
          <w:sz w:val="16"/>
          <w:szCs w:val="16"/>
          <w:color w:val="auto"/>
        </w:rPr>
      </w:pPr>
    </w:p>
    <w:p>
      <w:pPr>
        <w:ind w:right="60" w:firstLine="656"/>
        <w:spacing w:after="0" w:line="272" w:lineRule="auto"/>
        <w:tabs>
          <w:tab w:leader="none" w:pos="135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Subject to rights granted to KKR and Berkshire under the Stockholders Agreement,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any time when KKR and Berkshire beneficially own collectively, in the aggregate, less than 40% in voting power of the stock of the Corporation entitled to vote generally in the election of directors, any such director or all such directors may be removed only for cause and only by the affirmative vote of the holders of at least 66⅔% in voting power of all the then-outstanding shares of stock of the Corporation entitled to vote thereon, voting together as a single class.</w:t>
      </w:r>
    </w:p>
    <w:p>
      <w:pPr>
        <w:spacing w:after="0" w:line="231" w:lineRule="exact"/>
        <w:rPr>
          <w:rFonts w:ascii="Arial" w:cs="Arial" w:eastAsia="Arial" w:hAnsi="Arial"/>
          <w:sz w:val="17"/>
          <w:szCs w:val="17"/>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shall so provide.</w:t>
      </w:r>
    </w:p>
    <w:p>
      <w:pPr>
        <w:spacing w:after="0" w:line="279" w:lineRule="exact"/>
        <w:rPr>
          <w:rFonts w:ascii="Arial" w:cs="Arial" w:eastAsia="Arial" w:hAnsi="Arial"/>
          <w:sz w:val="18"/>
          <w:szCs w:val="18"/>
          <w:color w:val="auto"/>
        </w:rPr>
      </w:pPr>
    </w:p>
    <w:p>
      <w:pPr>
        <w:ind w:firstLine="656"/>
        <w:spacing w:after="0" w:line="288" w:lineRule="auto"/>
        <w:tabs>
          <w:tab w:leader="none" w:pos="1343"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DIRECTOR LIABILITY</w:t>
      </w:r>
    </w:p>
    <w:p>
      <w:pPr>
        <w:spacing w:after="0" w:line="283" w:lineRule="exact"/>
        <w:rPr>
          <w:sz w:val="20"/>
          <w:szCs w:val="20"/>
          <w:color w:val="auto"/>
        </w:rPr>
      </w:pPr>
    </w:p>
    <w:p>
      <w:pPr>
        <w:jc w:val="both"/>
        <w:ind w:left="-20" w:right="540" w:firstLine="656"/>
        <w:spacing w:after="0" w:line="342" w:lineRule="auto"/>
        <w:tabs>
          <w:tab w:leader="none" w:pos="1343"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w:t>
      </w:r>
    </w:p>
    <w:p>
      <w:pPr>
        <w:spacing w:after="0" w:line="177" w:lineRule="exact"/>
        <w:rPr>
          <w:rFonts w:ascii="Arial" w:cs="Arial" w:eastAsia="Arial" w:hAnsi="Arial"/>
          <w:sz w:val="16"/>
          <w:szCs w:val="16"/>
          <w:color w:val="auto"/>
        </w:rPr>
      </w:pPr>
    </w:p>
    <w:p>
      <w:pPr>
        <w:jc w:val="both"/>
        <w:ind w:left="-20" w:right="180" w:firstLine="656"/>
        <w:spacing w:after="0" w:line="312" w:lineRule="auto"/>
        <w:tabs>
          <w:tab w:leader="none" w:pos="1334" w:val="left"/>
        </w:tabs>
        <w:numPr>
          <w:ilvl w:val="0"/>
          <w:numId w:val="9"/>
        </w:numPr>
        <w:rPr>
          <w:rFonts w:ascii="Arial" w:cs="Arial" w:eastAsia="Arial" w:hAnsi="Arial"/>
          <w:sz w:val="16"/>
          <w:szCs w:val="16"/>
          <w:color w:val="auto"/>
        </w:rPr>
      </w:pPr>
      <w:r>
        <w:rPr>
          <w:rFonts w:ascii="Arial" w:cs="Arial" w:eastAsia="Arial" w:hAnsi="Arial"/>
          <w:sz w:val="16"/>
          <w:szCs w:val="16"/>
          <w:color w:val="auto"/>
        </w:rPr>
        <w:t>Neither the amendment nor repeal of this Article VII, nor the adoption of any provision of this Second Amended and Restated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STOCKHOLDERS IN LIEU OF MEETING, ANNUAL AND SPECIAL MEETINGS OF STOCKHOLDERS</w:t>
      </w:r>
    </w:p>
    <w:p>
      <w:pPr>
        <w:spacing w:after="0" w:line="283" w:lineRule="exact"/>
        <w:rPr>
          <w:sz w:val="20"/>
          <w:szCs w:val="20"/>
          <w:color w:val="auto"/>
        </w:rPr>
      </w:pPr>
    </w:p>
    <w:p>
      <w:pPr>
        <w:ind w:left="-20" w:firstLine="656"/>
        <w:spacing w:after="0" w:line="268" w:lineRule="auto"/>
        <w:tabs>
          <w:tab w:leader="none" w:pos="13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At any time when KKR and Berkshire beneficially own collectively, in the aggregate, at least 40% in voting 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KKR and Berkshire beneficially own collectively, in the aggregate, less than 40%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action required or permitted to be taken by the holders of Preferred Stock, voting separately as a series or separately as a class</w:t>
      </w:r>
      <w:r>
        <w:rPr>
          <w:rFonts w:ascii="Arial" w:cs="Arial" w:eastAsia="Arial" w:hAnsi="Arial"/>
          <w:sz w:val="17"/>
          <w:szCs w:val="17"/>
          <w:i w:val="1"/>
          <w:iCs w:val="1"/>
          <w:color w:val="auto"/>
        </w:rPr>
        <w:t xml:space="preserve"> </w:t>
      </w:r>
      <w:r>
        <w:rPr>
          <w:rFonts w:ascii="Arial" w:cs="Arial" w:eastAsia="Arial" w:hAnsi="Arial"/>
          <w:sz w:val="17"/>
          <w:szCs w:val="17"/>
          <w:color w:val="auto"/>
        </w:rPr>
        <w:t>with one or more other such series, may be taken without a meeting, without prior notice and without a vote, to the extent expressly so provided by the applicable certificate of designation relating to such series of Preferred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64" w:right="239" w:bottom="1440" w:gutter="0" w:footer="0" w:header="0"/>
        </w:sectPr>
      </w:pPr>
    </w:p>
    <w:bookmarkStart w:id="12" w:name="page13"/>
    <w:bookmarkEnd w:id="12"/>
    <w:p>
      <w:pPr>
        <w:ind w:left="-8" w:firstLine="656"/>
        <w:spacing w:after="0" w:line="255" w:lineRule="auto"/>
        <w:tabs>
          <w:tab w:leader="none" w:pos="13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Except as otherwise required by law and subject to the rights of the holders of any series of Preferred Stock, special meetings of the stockholders of the Corporation for any purpose or purposes may be called at any time only by or at the direction of the Board of Directors or the Chairman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any time when KKR and Berkshire beneficially own collectively, in the aggregate, at least 40% in voting power of the stock of the Corporation entitled to vote generally in the election of directors, special meetings of the stockholders of the Corporation for any purpose or purposes shall also be called by or at the direction of the Board of Directors or the Chairman of the Board of Directors at the request of either KKR or Berkshire.</w:t>
      </w:r>
    </w:p>
    <w:p>
      <w:pPr>
        <w:spacing w:after="0" w:line="247" w:lineRule="exact"/>
        <w:rPr>
          <w:rFonts w:ascii="Arial" w:cs="Arial" w:eastAsia="Arial" w:hAnsi="Arial"/>
          <w:sz w:val="18"/>
          <w:szCs w:val="18"/>
          <w:color w:val="auto"/>
        </w:rPr>
      </w:pPr>
    </w:p>
    <w:p>
      <w:pPr>
        <w:ind w:left="-8" w:right="220" w:firstLine="656"/>
        <w:spacing w:after="0" w:line="264" w:lineRule="auto"/>
        <w:tabs>
          <w:tab w:leader="none" w:pos="13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of Directors or a duly authorized committee thereof.</w:t>
      </w: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IX</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COMPETITION AND CORPORATE OPPORTUNITIES</w:t>
      </w:r>
    </w:p>
    <w:p>
      <w:pPr>
        <w:spacing w:after="0" w:line="283" w:lineRule="exact"/>
        <w:rPr>
          <w:sz w:val="20"/>
          <w:szCs w:val="20"/>
          <w:color w:val="auto"/>
        </w:rPr>
      </w:pPr>
    </w:p>
    <w:p>
      <w:pPr>
        <w:ind w:left="-8" w:right="80" w:firstLine="656"/>
        <w:spacing w:after="0" w:line="269" w:lineRule="auto"/>
        <w:tabs>
          <w:tab w:leader="none" w:pos="1355"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 recognition and anticipation that (i) certain directors, principals, members, officers, associated funds, employees and/or other representatives of Kohlberg Kravis Roberts &amp; Co. L.P., Berkshire Partners LLC and their respective Affiliates (as defined below) may serve as directors, officers or agents of the Corporation, (ii) Kohlberg Kravis Roberts &amp; Co. L.P., Berkshire Partners LLC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of Directors who are not employees of the Corporation (“</w:t>
      </w:r>
      <w:r>
        <w:rPr>
          <w:rFonts w:ascii="Arial" w:cs="Arial" w:eastAsia="Arial" w:hAnsi="Arial"/>
          <w:sz w:val="17"/>
          <w:szCs w:val="17"/>
          <w:u w:val="single" w:color="auto"/>
          <w:color w:val="auto"/>
        </w:rPr>
        <w:t>Non-Employee Directors</w:t>
      </w:r>
      <w:r>
        <w:rPr>
          <w:rFonts w:ascii="Arial" w:cs="Arial" w:eastAsia="Arial" w:hAnsi="Arial"/>
          <w:sz w:val="17"/>
          <w:szCs w:val="17"/>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Kohlberg Kravis Roberts &amp; Co. L.P., Berkshire Partners LLC, the Non-Employee Directors or their respective Affiliates and the powers, rights, duties and liabilities of the Corporation and its directors, officers and stockholders in connection therewith, subject to the provisions set out in the Stockholders Agreement.</w:t>
      </w:r>
    </w:p>
    <w:p>
      <w:pPr>
        <w:spacing w:after="0" w:line="233" w:lineRule="exact"/>
        <w:rPr>
          <w:rFonts w:ascii="Arial" w:cs="Arial" w:eastAsia="Arial" w:hAnsi="Arial"/>
          <w:sz w:val="17"/>
          <w:szCs w:val="17"/>
          <w:color w:val="auto"/>
        </w:rPr>
      </w:pPr>
    </w:p>
    <w:p>
      <w:pPr>
        <w:ind w:left="-8" w:right="40" w:firstLine="656"/>
        <w:spacing w:after="0" w:line="283" w:lineRule="auto"/>
        <w:tabs>
          <w:tab w:leader="none" w:pos="1346"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None of (i) Kohlberg Kravis Roberts &amp; Co. L.P., Berkshire Partners LLC or any of their respective Affiliates or (ii) any Non-Employee Director (including any Non-Employee Director who serves as an officer of the Corporation in both his or her director and officer capacities) or his or her Affiliates (the Persons (as defined below) identified in (i) and (ii) above being referred to, collectively, as “</w:t>
      </w:r>
      <w:r>
        <w:rPr>
          <w:rFonts w:ascii="Arial" w:cs="Arial" w:eastAsia="Arial" w:hAnsi="Arial"/>
          <w:sz w:val="16"/>
          <w:szCs w:val="16"/>
          <w:u w:val="single" w:color="auto"/>
          <w:color w:val="auto"/>
        </w:rPr>
        <w:t>Identified Persons</w:t>
      </w:r>
      <w:r>
        <w:rPr>
          <w:rFonts w:ascii="Arial" w:cs="Arial" w:eastAsia="Arial" w:hAnsi="Arial"/>
          <w:sz w:val="16"/>
          <w:szCs w:val="16"/>
          <w:color w:val="auto"/>
        </w:rPr>
        <w:t>” and, individually, as an “</w:t>
      </w:r>
      <w:r>
        <w:rPr>
          <w:rFonts w:ascii="Arial" w:cs="Arial" w:eastAsia="Arial" w:hAnsi="Arial"/>
          <w:sz w:val="16"/>
          <w:szCs w:val="16"/>
          <w:u w:val="single" w:color="auto"/>
          <w:color w:val="auto"/>
        </w:rPr>
        <w:t>Identified Person</w:t>
      </w:r>
      <w:r>
        <w:rPr>
          <w:rFonts w:ascii="Arial" w:cs="Arial" w:eastAsia="Arial" w:hAnsi="Arial"/>
          <w:sz w:val="16"/>
          <w:szCs w:val="16"/>
          <w:color w:val="auto"/>
        </w:rPr>
        <w:t>”)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w:t>
      </w:r>
    </w:p>
    <w:p>
      <w:pPr>
        <w:spacing w:after="0" w:line="6" w:lineRule="exact"/>
        <w:rPr>
          <w:rFonts w:ascii="Arial" w:cs="Arial" w:eastAsia="Arial" w:hAnsi="Arial"/>
          <w:sz w:val="16"/>
          <w:szCs w:val="16"/>
          <w:color w:val="auto"/>
        </w:rPr>
      </w:pPr>
    </w:p>
    <w:p>
      <w:pPr>
        <w:ind w:left="-8" w:firstLine="8"/>
        <w:spacing w:after="0" w:line="252" w:lineRule="auto"/>
        <w:tabs>
          <w:tab w:leader="none" w:pos="2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this Article IX. Subject to said Section (D) of this Article IX,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95" w:right="239" w:bottom="1440" w:gutter="0" w:footer="0" w:header="0"/>
        </w:sectPr>
      </w:pPr>
    </w:p>
    <w:bookmarkStart w:id="13" w:name="page14"/>
    <w:bookmarkEnd w:id="13"/>
    <w:p>
      <w:pPr>
        <w:ind w:right="160" w:firstLine="656"/>
        <w:spacing w:after="0" w:line="264" w:lineRule="auto"/>
        <w:tabs>
          <w:tab w:leader="none" w:pos="13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Corporation and its Affiliates do not have any rights in and to the business ventures of any Identified Person, or the income or profits derived therefrom, and the Corporation agrees that each of the Identified Persons may do business with any potential or actual customer or supplier of the Corporation or may employ or otherwise engage any officer or employee of the Corporation.</w:t>
      </w:r>
    </w:p>
    <w:p>
      <w:pPr>
        <w:spacing w:after="0" w:line="235" w:lineRule="exact"/>
        <w:rPr>
          <w:rFonts w:ascii="Arial" w:cs="Arial" w:eastAsia="Arial" w:hAnsi="Arial"/>
          <w:sz w:val="18"/>
          <w:szCs w:val="18"/>
          <w:color w:val="auto"/>
        </w:rPr>
      </w:pPr>
    </w:p>
    <w:p>
      <w:pPr>
        <w:ind w:right="260" w:firstLine="656"/>
        <w:spacing w:after="0" w:line="312" w:lineRule="auto"/>
        <w:tabs>
          <w:tab w:leader="none" w:pos="13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Article IX shall not apply to any such corporate opportunity.</w:t>
      </w:r>
    </w:p>
    <w:p>
      <w:pPr>
        <w:spacing w:after="0" w:line="200" w:lineRule="exact"/>
        <w:rPr>
          <w:rFonts w:ascii="Arial" w:cs="Arial" w:eastAsia="Arial" w:hAnsi="Arial"/>
          <w:sz w:val="16"/>
          <w:szCs w:val="16"/>
          <w:color w:val="auto"/>
        </w:rPr>
      </w:pPr>
    </w:p>
    <w:p>
      <w:pPr>
        <w:ind w:right="40" w:firstLine="656"/>
        <w:spacing w:after="0" w:line="259" w:lineRule="auto"/>
        <w:tabs>
          <w:tab w:leader="none" w:pos="13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to and notwithstanding the foregoing provisions of this Article IX,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240" w:lineRule="exact"/>
        <w:rPr>
          <w:rFonts w:ascii="Arial" w:cs="Arial" w:eastAsia="Arial" w:hAnsi="Arial"/>
          <w:sz w:val="18"/>
          <w:szCs w:val="18"/>
          <w:color w:val="auto"/>
        </w:rPr>
      </w:pPr>
    </w:p>
    <w:p>
      <w:pPr>
        <w:ind w:firstLine="656"/>
        <w:spacing w:after="0" w:line="270" w:lineRule="auto"/>
        <w:tabs>
          <w:tab w:leader="none" w:pos="1319"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purposes of this Article IX, (i)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 in respect of Kohlberg Kravis Roberts &amp; Co. L.P., any Person that, directly or indirectly, is controlled by Kohlberg Kravis Roberts &amp; Co. L.P., controls Kohlberg Kravis Roberts &amp; Co. L.P., or is under common control with Kohlberg Kravis Roberts &amp; Co. L.P., and shall include any principal, member, director, partner, stockholder, officer, employee or other representative of any of the foregoing (other than the Corporation and any Person that is controlled by the Corporation), (b) in respect of Berkshire Partners LLC, any Person that, directly or indirectly, is controlled by Berkshire Partners LLC, controls Berkshire Partners LLC, or is under common control with Berkshire Partners LLC, and shall include any principal, member, director, partner, stockholder, officer, employee or other representative of any of the foregoing (other than the Corporation and any entity that is controlled by the Corporation), (c) in respect of a Non-Employee Director, any Person that, directly or indirectly, is controlled by such Non-Employee Director (other than the Corporation and any entity that is controlled by the Corporation) and (d) in respect of the Corporation, any Person that, directly or indirectly, is controlled by the Corporation; and (ii) “</w:t>
      </w:r>
      <w:r>
        <w:rPr>
          <w:rFonts w:ascii="Arial" w:cs="Arial" w:eastAsia="Arial" w:hAnsi="Arial"/>
          <w:sz w:val="17"/>
          <w:szCs w:val="17"/>
          <w:u w:val="single" w:color="auto"/>
          <w:color w:val="auto"/>
        </w:rPr>
        <w:t>Person</w:t>
      </w:r>
      <w:r>
        <w:rPr>
          <w:rFonts w:ascii="Arial" w:cs="Arial" w:eastAsia="Arial" w:hAnsi="Arial"/>
          <w:sz w:val="17"/>
          <w:szCs w:val="17"/>
          <w:color w:val="auto"/>
        </w:rPr>
        <w:t>” shall mean any individual, corporation, general or limited partnership, limited liability company, joint venture, trust, association or any other entity.</w:t>
      </w:r>
    </w:p>
    <w:p>
      <w:pPr>
        <w:spacing w:after="0" w:line="231" w:lineRule="exact"/>
        <w:rPr>
          <w:rFonts w:ascii="Arial" w:cs="Arial" w:eastAsia="Arial" w:hAnsi="Arial"/>
          <w:sz w:val="17"/>
          <w:szCs w:val="17"/>
          <w:color w:val="auto"/>
        </w:rPr>
      </w:pPr>
    </w:p>
    <w:p>
      <w:pPr>
        <w:ind w:right="160" w:firstLine="656"/>
        <w:spacing w:after="0" w:line="255" w:lineRule="auto"/>
        <w:tabs>
          <w:tab w:leader="none" w:pos="13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IX. Neither the alteration, amendment, addition to or repeal of this Article IX, nor the adoption of any provision of this Second Amended and Restated Certificate of Incorporation (including any certificate of designation relating to any series of Preferred Stock) inconsistent with this Article IX, shall eliminate or reduce the effect of this Article IX in respect of any business opportunity first identified or any other matter occurring, or any cause of action, suit or claim that, but for this Article IX, would accrue or arise, prior to such alteration, amendment, addition, repeal or adoption.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DGCL SECTION 203 AND BUSINESS COMBINATIONS</w:t>
      </w:r>
    </w:p>
    <w:p>
      <w:pPr>
        <w:spacing w:after="0" w:line="283" w:lineRule="exact"/>
        <w:rPr>
          <w:sz w:val="20"/>
          <w:szCs w:val="20"/>
          <w:color w:val="auto"/>
        </w:rPr>
      </w:pPr>
    </w:p>
    <w:p>
      <w:pPr>
        <w:ind w:left="1160" w:hanging="724"/>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 hereby expressly elects not to be governed by Section 203 of the DGCL.</w:t>
      </w:r>
    </w:p>
    <w:p>
      <w:pPr>
        <w:spacing w:after="0" w:line="279" w:lineRule="exact"/>
        <w:rPr>
          <w:rFonts w:ascii="Arial" w:cs="Arial" w:eastAsia="Arial" w:hAnsi="Arial"/>
          <w:sz w:val="18"/>
          <w:szCs w:val="18"/>
          <w:color w:val="auto"/>
        </w:rPr>
      </w:pPr>
    </w:p>
    <w:p>
      <w:pPr>
        <w:jc w:val="both"/>
        <w:ind w:left="-220" w:right="20" w:firstLine="656"/>
        <w:spacing w:after="0" w:line="286" w:lineRule="auto"/>
        <w:tabs>
          <w:tab w:leader="none" w:pos="1134"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92" w:lineRule="exact"/>
        <w:rPr>
          <w:rFonts w:ascii="Arial" w:cs="Arial" w:eastAsia="Arial" w:hAnsi="Arial"/>
          <w:sz w:val="17"/>
          <w:szCs w:val="17"/>
          <w:color w:val="auto"/>
        </w:rPr>
      </w:pPr>
    </w:p>
    <w:p>
      <w:pPr>
        <w:ind w:left="1740" w:right="400" w:hanging="655"/>
        <w:spacing w:after="0" w:line="277" w:lineRule="auto"/>
        <w:tabs>
          <w:tab w:leader="none" w:pos="1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197" w:lineRule="exact"/>
        <w:rPr>
          <w:rFonts w:ascii="Arial" w:cs="Arial" w:eastAsia="Arial" w:hAnsi="Arial"/>
          <w:sz w:val="18"/>
          <w:szCs w:val="18"/>
          <w:color w:val="auto"/>
        </w:rPr>
      </w:pPr>
    </w:p>
    <w:p>
      <w:pPr>
        <w:ind w:left="1740" w:hanging="655"/>
        <w:spacing w:after="0" w:line="255" w:lineRule="auto"/>
        <w:tabs>
          <w:tab w:leader="none" w:pos="1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20" w:lineRule="exact"/>
        <w:rPr>
          <w:rFonts w:ascii="Arial" w:cs="Arial" w:eastAsia="Arial" w:hAnsi="Arial"/>
          <w:sz w:val="18"/>
          <w:szCs w:val="18"/>
          <w:color w:val="auto"/>
        </w:rPr>
      </w:pPr>
    </w:p>
    <w:p>
      <w:pPr>
        <w:ind w:left="1740" w:right="120" w:hanging="655"/>
        <w:spacing w:after="0" w:line="264" w:lineRule="auto"/>
        <w:tabs>
          <w:tab w:leader="none" w:pos="1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66⅔% of the outstanding voting stock of the Corporation which is not owned by the interested stockholder.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460" w:top="364" w:right="439" w:bottom="1440" w:gutter="0" w:footer="0" w:header="0"/>
        </w:sectPr>
      </w:pPr>
    </w:p>
    <w:bookmarkStart w:id="15" w:name="page16"/>
    <w:bookmarkEnd w:id="15"/>
    <w:p>
      <w:pPr>
        <w:ind w:left="704" w:hanging="704"/>
        <w:spacing w:after="0"/>
        <w:tabs>
          <w:tab w:leader="none" w:pos="7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purposes of this Article X, references to:</w:t>
      </w:r>
    </w:p>
    <w:p>
      <w:pPr>
        <w:spacing w:after="0" w:line="252" w:lineRule="exact"/>
        <w:rPr>
          <w:rFonts w:ascii="Arial" w:cs="Arial" w:eastAsia="Arial" w:hAnsi="Arial"/>
          <w:sz w:val="18"/>
          <w:szCs w:val="18"/>
          <w:color w:val="auto"/>
        </w:rPr>
      </w:pPr>
    </w:p>
    <w:p>
      <w:pPr>
        <w:ind w:left="1304" w:right="200" w:hanging="655"/>
        <w:spacing w:after="0" w:line="277"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97" w:lineRule="exact"/>
        <w:rPr>
          <w:rFonts w:ascii="Arial" w:cs="Arial" w:eastAsia="Arial" w:hAnsi="Arial"/>
          <w:sz w:val="18"/>
          <w:szCs w:val="18"/>
          <w:color w:val="auto"/>
        </w:rPr>
      </w:pPr>
    </w:p>
    <w:p>
      <w:pPr>
        <w:ind w:left="1304" w:right="20" w:hanging="655"/>
        <w:spacing w:after="0" w:line="276" w:lineRule="auto"/>
        <w:tabs>
          <w:tab w:leader="none" w:pos="1304" w:val="left"/>
        </w:tabs>
        <w:numPr>
          <w:ilvl w:val="1"/>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associate</w:t>
      </w:r>
      <w:r>
        <w:rPr>
          <w:rFonts w:ascii="Arial" w:cs="Arial" w:eastAsia="Arial" w:hAnsi="Arial"/>
          <w:sz w:val="17"/>
          <w:szCs w:val="17"/>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99" w:lineRule="exact"/>
        <w:rPr>
          <w:rFonts w:ascii="Arial" w:cs="Arial" w:eastAsia="Arial" w:hAnsi="Arial"/>
          <w:sz w:val="17"/>
          <w:szCs w:val="17"/>
          <w:color w:val="auto"/>
        </w:rPr>
      </w:pPr>
    </w:p>
    <w:p>
      <w:pPr>
        <w:ind w:left="1304" w:hanging="655"/>
        <w:spacing w:after="0" w:line="302" w:lineRule="auto"/>
        <w:tabs>
          <w:tab w:leader="none" w:pos="1304" w:val="left"/>
        </w:tabs>
        <w:numPr>
          <w:ilvl w:val="1"/>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KKR/Berkshire Direct Transferee</w:t>
      </w:r>
      <w:r>
        <w:rPr>
          <w:rFonts w:ascii="Arial" w:cs="Arial" w:eastAsia="Arial" w:hAnsi="Arial"/>
          <w:sz w:val="16"/>
          <w:szCs w:val="16"/>
          <w:color w:val="auto"/>
        </w:rPr>
        <w:t>” means any person that acquires (other than in a registered public offering or through a broker’s transaction executed on any securities exchange or other over-the-counter market) directly from any of KKR, Berkshire or any of their respective affiliates or successors or any “group,” or any member of any such group, of which such persons are a party under Rule 13d-5 of the Exchange Act beneficial ownership of 5% or more of the then-outstanding voting stock of the Corporation.</w:t>
      </w:r>
    </w:p>
    <w:p>
      <w:pPr>
        <w:spacing w:after="0" w:line="181" w:lineRule="exact"/>
        <w:rPr>
          <w:rFonts w:ascii="Arial" w:cs="Arial" w:eastAsia="Arial" w:hAnsi="Arial"/>
          <w:sz w:val="16"/>
          <w:szCs w:val="16"/>
          <w:color w:val="auto"/>
        </w:rPr>
      </w:pPr>
    </w:p>
    <w:p>
      <w:pPr>
        <w:ind w:left="1304" w:right="360" w:hanging="655"/>
        <w:spacing w:after="0" w:line="259"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KKR/Berkshire Indirect Transferee</w:t>
      </w:r>
      <w:r>
        <w:rPr>
          <w:rFonts w:ascii="Arial" w:cs="Arial" w:eastAsia="Arial" w:hAnsi="Arial"/>
          <w:sz w:val="18"/>
          <w:szCs w:val="18"/>
          <w:color w:val="auto"/>
        </w:rPr>
        <w:t>” means any person that acquires (other than in a registered public offering or through a broker’s transaction executed on any securities exchange or other over-the-counter market) directly from any KKR/Berkshire Direct Transferee or any other KKR/Berkshire Indirect Transferee beneficial ownership of 5% or more of the then-outstanding voting stock of the Corporation.</w:t>
      </w:r>
    </w:p>
    <w:p>
      <w:pPr>
        <w:spacing w:after="0" w:line="213" w:lineRule="exact"/>
        <w:rPr>
          <w:rFonts w:ascii="Arial" w:cs="Arial" w:eastAsia="Arial" w:hAnsi="Arial"/>
          <w:sz w:val="18"/>
          <w:szCs w:val="18"/>
          <w:color w:val="auto"/>
        </w:rPr>
      </w:pPr>
    </w:p>
    <w:p>
      <w:pPr>
        <w:ind w:left="1304" w:hanging="655"/>
        <w:spacing w:after="0"/>
        <w:tabs>
          <w:tab w:leader="none" w:pos="1304" w:val="left"/>
        </w:tabs>
        <w:numPr>
          <w:ilvl w:val="1"/>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when used in reference to the Corporation and any interested stockholder of the Corporation, means:</w:t>
      </w:r>
    </w:p>
    <w:p>
      <w:pPr>
        <w:spacing w:after="0" w:line="263" w:lineRule="exact"/>
        <w:rPr>
          <w:rFonts w:ascii="Arial" w:cs="Arial" w:eastAsia="Arial" w:hAnsi="Arial"/>
          <w:sz w:val="17"/>
          <w:szCs w:val="17"/>
          <w:color w:val="auto"/>
        </w:rPr>
      </w:pPr>
    </w:p>
    <w:p>
      <w:pPr>
        <w:ind w:left="1944" w:right="20" w:hanging="647"/>
        <w:spacing w:after="0" w:line="288" w:lineRule="auto"/>
        <w:tabs>
          <w:tab w:leader="none" w:pos="1944" w:val="left"/>
        </w:tabs>
        <w:numPr>
          <w:ilvl w:val="2"/>
          <w:numId w:val="16"/>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w:t>
      </w:r>
    </w:p>
    <w:p>
      <w:pPr>
        <w:ind w:left="1944"/>
        <w:spacing w:after="0"/>
        <w:rPr>
          <w:rFonts w:ascii="Arial" w:cs="Arial" w:eastAsia="Arial" w:hAnsi="Arial"/>
          <w:sz w:val="16"/>
          <w:szCs w:val="16"/>
          <w:color w:val="auto"/>
        </w:rPr>
      </w:pPr>
      <w:r>
        <w:rPr>
          <w:rFonts w:ascii="Arial" w:cs="Arial" w:eastAsia="Arial" w:hAnsi="Arial"/>
          <w:sz w:val="18"/>
          <w:szCs w:val="18"/>
          <w:color w:val="auto"/>
        </w:rPr>
        <w:t>(B) of this Article X is not applicable to the surviving entity;</w:t>
      </w:r>
    </w:p>
    <w:p>
      <w:pPr>
        <w:spacing w:after="0" w:line="237" w:lineRule="exact"/>
        <w:rPr>
          <w:rFonts w:ascii="Arial" w:cs="Arial" w:eastAsia="Arial" w:hAnsi="Arial"/>
          <w:sz w:val="16"/>
          <w:szCs w:val="16"/>
          <w:color w:val="auto"/>
        </w:rPr>
      </w:pPr>
    </w:p>
    <w:p>
      <w:pPr>
        <w:ind w:left="1944" w:right="20" w:hanging="647"/>
        <w:spacing w:after="0" w:line="255" w:lineRule="auto"/>
        <w:tabs>
          <w:tab w:leader="none" w:pos="1944"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39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95" w:right="239" w:bottom="1440" w:gutter="0" w:footer="0" w:header="0"/>
        </w:sectPr>
      </w:pPr>
    </w:p>
    <w:bookmarkStart w:id="16" w:name="page17"/>
    <w:bookmarkEnd w:id="16"/>
    <w:p>
      <w:pPr>
        <w:ind w:left="1400" w:right="40" w:hanging="647"/>
        <w:spacing w:after="0" w:line="291" w:lineRule="auto"/>
        <w:tabs>
          <w:tab w:leader="none" w:pos="14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w:t>
      </w:r>
    </w:p>
    <w:p>
      <w:pPr>
        <w:ind w:left="1400" w:firstLine="1"/>
        <w:spacing w:after="0" w:line="281" w:lineRule="auto"/>
        <w:tabs>
          <w:tab w:leader="none" w:pos="1645"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case under items (c)-(e) of this subsection</w:t>
      </w:r>
    </w:p>
    <w:p>
      <w:pPr>
        <w:spacing w:after="0" w:line="5" w:lineRule="exact"/>
        <w:rPr>
          <w:rFonts w:ascii="Arial" w:cs="Arial" w:eastAsia="Arial" w:hAnsi="Arial"/>
          <w:sz w:val="16"/>
          <w:szCs w:val="16"/>
          <w:color w:val="auto"/>
        </w:rPr>
      </w:pPr>
    </w:p>
    <w:p>
      <w:pPr>
        <w:ind w:left="1400" w:right="20" w:firstLine="1"/>
        <w:spacing w:after="0" w:line="255" w:lineRule="auto"/>
        <w:tabs>
          <w:tab w:leader="none" w:pos="17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217" w:lineRule="exact"/>
        <w:rPr>
          <w:sz w:val="20"/>
          <w:szCs w:val="20"/>
          <w:color w:val="auto"/>
        </w:rPr>
      </w:pPr>
    </w:p>
    <w:p>
      <w:pPr>
        <w:ind w:left="1400" w:right="40" w:hanging="647"/>
        <w:spacing w:after="0" w:line="297" w:lineRule="auto"/>
        <w:tabs>
          <w:tab w:leader="none" w:pos="1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85" w:lineRule="exact"/>
        <w:rPr>
          <w:rFonts w:ascii="Arial" w:cs="Arial" w:eastAsia="Arial" w:hAnsi="Arial"/>
          <w:sz w:val="16"/>
          <w:szCs w:val="16"/>
          <w:color w:val="auto"/>
        </w:rPr>
      </w:pPr>
    </w:p>
    <w:p>
      <w:pPr>
        <w:ind w:left="1400" w:right="40" w:hanging="647"/>
        <w:spacing w:after="0" w:line="259"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80"/>
          </w:cols>
          <w:pgMar w:left="1440" w:top="368" w:right="379" w:bottom="1440" w:gutter="0" w:footer="0" w:header="0"/>
        </w:sectPr>
      </w:pPr>
    </w:p>
    <w:bookmarkStart w:id="17" w:name="page18"/>
    <w:bookmarkEnd w:id="17"/>
    <w:p>
      <w:pPr>
        <w:ind w:left="760" w:hanging="655"/>
        <w:spacing w:after="0" w:line="25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 as an agent, bank, broker, nominee, custodian or trustee for one or more owners who do not individually or as a group have control of such entity.</w:t>
      </w:r>
    </w:p>
    <w:p>
      <w:pPr>
        <w:spacing w:after="0" w:line="219" w:lineRule="exact"/>
        <w:rPr>
          <w:rFonts w:ascii="Arial" w:cs="Arial" w:eastAsia="Arial" w:hAnsi="Arial"/>
          <w:sz w:val="18"/>
          <w:szCs w:val="18"/>
          <w:color w:val="auto"/>
        </w:rPr>
      </w:pPr>
    </w:p>
    <w:p>
      <w:pPr>
        <w:ind w:left="760" w:hanging="655"/>
        <w:spacing w:after="0" w:line="26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interested stockholder</w:t>
      </w:r>
      <w:r>
        <w:rPr>
          <w:rFonts w:ascii="Arial" w:cs="Arial" w:eastAsia="Arial" w:hAnsi="Arial"/>
          <w:sz w:val="17"/>
          <w:szCs w:val="17"/>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or be deemed to include, in any case, (a) KKR, Berkshire, any KKR/Berkshire Direct Transferee, any KKR/Berkshire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210" w:lineRule="exact"/>
        <w:rPr>
          <w:rFonts w:ascii="Arial" w:cs="Arial" w:eastAsia="Arial" w:hAnsi="Arial"/>
          <w:sz w:val="17"/>
          <w:szCs w:val="17"/>
          <w:color w:val="auto"/>
        </w:rPr>
      </w:pPr>
    </w:p>
    <w:p>
      <w:pPr>
        <w:ind w:left="760" w:right="180" w:hanging="655"/>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97" w:lineRule="exact"/>
        <w:rPr>
          <w:rFonts w:ascii="Arial" w:cs="Arial" w:eastAsia="Arial" w:hAnsi="Arial"/>
          <w:sz w:val="18"/>
          <w:szCs w:val="18"/>
          <w:color w:val="auto"/>
        </w:rPr>
      </w:pPr>
    </w:p>
    <w:p>
      <w:pPr>
        <w:ind w:left="1400" w:hanging="647"/>
        <w:spacing w:after="0"/>
        <w:tabs>
          <w:tab w:leader="none" w:pos="14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52" w:lineRule="exact"/>
        <w:rPr>
          <w:rFonts w:ascii="Arial" w:cs="Arial" w:eastAsia="Arial" w:hAnsi="Arial"/>
          <w:sz w:val="18"/>
          <w:szCs w:val="18"/>
          <w:color w:val="auto"/>
        </w:rPr>
      </w:pPr>
    </w:p>
    <w:p>
      <w:pPr>
        <w:ind w:left="1400" w:right="120" w:hanging="647"/>
        <w:spacing w:after="0" w:line="253" w:lineRule="auto"/>
        <w:tabs>
          <w:tab w:leader="none" w:pos="14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368" w:right="259" w:bottom="1440" w:gutter="0" w:footer="0" w:header="0"/>
        </w:sectPr>
      </w:pPr>
    </w:p>
    <w:bookmarkStart w:id="18" w:name="page19"/>
    <w:bookmarkEnd w:id="18"/>
    <w:p>
      <w:pPr>
        <w:ind w:left="2560" w:right="40" w:hanging="647"/>
        <w:spacing w:after="0" w:line="312" w:lineRule="auto"/>
        <w:tabs>
          <w:tab w:leader="none" w:pos="25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73" w:lineRule="exact"/>
        <w:rPr>
          <w:rFonts w:ascii="Arial" w:cs="Arial" w:eastAsia="Arial" w:hAnsi="Arial"/>
          <w:sz w:val="16"/>
          <w:szCs w:val="16"/>
          <w:color w:val="auto"/>
        </w:rPr>
      </w:pPr>
    </w:p>
    <w:p>
      <w:pPr>
        <w:ind w:left="1920" w:hanging="655"/>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252" w:lineRule="exact"/>
        <w:rPr>
          <w:rFonts w:ascii="Arial" w:cs="Arial" w:eastAsia="Arial" w:hAnsi="Arial"/>
          <w:sz w:val="18"/>
          <w:szCs w:val="18"/>
          <w:color w:val="auto"/>
        </w:rPr>
      </w:pPr>
    </w:p>
    <w:p>
      <w:pPr>
        <w:ind w:left="1920" w:hanging="655"/>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252" w:lineRule="exact"/>
        <w:rPr>
          <w:rFonts w:ascii="Arial" w:cs="Arial" w:eastAsia="Arial" w:hAnsi="Arial"/>
          <w:sz w:val="18"/>
          <w:szCs w:val="18"/>
          <w:color w:val="auto"/>
        </w:rPr>
      </w:pPr>
    </w:p>
    <w:p>
      <w:pPr>
        <w:ind w:left="1920" w:hanging="655"/>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83" w:lineRule="exact"/>
        <w:rPr>
          <w:sz w:val="20"/>
          <w:szCs w:val="20"/>
          <w:color w:val="auto"/>
        </w:rPr>
      </w:pPr>
    </w:p>
    <w:p>
      <w:pPr>
        <w:ind w:left="-40" w:right="20" w:firstLine="656"/>
        <w:spacing w:after="0" w:line="270" w:lineRule="auto"/>
        <w:tabs>
          <w:tab w:leader="none" w:pos="1323"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any provision or provisions of this Second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Second Amended and Restated Certificate of Incorporation (including, without limitation, each portion of any paragraph of this Second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Second Amended and Restated Certificate of Incorporation (including, without limitation, each such portion of any paragraph of this Second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235" w:lineRule="exact"/>
        <w:rPr>
          <w:rFonts w:ascii="Arial" w:cs="Arial" w:eastAsia="Arial" w:hAnsi="Arial"/>
          <w:sz w:val="17"/>
          <w:szCs w:val="17"/>
          <w:color w:val="auto"/>
        </w:rPr>
      </w:pPr>
    </w:p>
    <w:p>
      <w:pPr>
        <w:ind w:left="-40" w:firstLine="656"/>
        <w:spacing w:after="0" w:line="288" w:lineRule="auto"/>
        <w:tabs>
          <w:tab w:leader="none" w:pos="13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officer or other employee or stockholder of the Corporation to the Corporation or the Corporation’s stockholders, creditors or other constituents, (iii) any action asserting a claim against the Corporation or any director or officer of the Corporation arising pursuant to any provision of the DGCL or this Second Amended and Restated Certificate of Incorporation or the Bylaws (as either may be amended and/or restated from time to time) or as to which the DGCL confers jurisdiction on the Court of Chancery of the State of Delaware, or (iv) any action asserting a claim against the Corporation or any director or officer of the Corporation governed by the internal affairs doctrine; </w:t>
      </w:r>
      <w:r>
        <w:rPr>
          <w:rFonts w:ascii="Arial" w:cs="Arial" w:eastAsia="Arial" w:hAnsi="Arial"/>
          <w:sz w:val="16"/>
          <w:szCs w:val="16"/>
          <w:i w:val="1"/>
          <w:iCs w:val="1"/>
          <w:color w:val="auto"/>
        </w:rPr>
        <w:t>provided</w:t>
      </w:r>
      <w:r>
        <w:rPr>
          <w:rFonts w:ascii="Arial" w:cs="Arial" w:eastAsia="Arial" w:hAnsi="Arial"/>
          <w:sz w:val="16"/>
          <w:szCs w:val="16"/>
          <w:color w:val="auto"/>
        </w:rPr>
        <w:t>, that, if and only if the Court of Chancery of the State of Delaware dismisses any such action for lack of subject matter jurisdiction, such action may be brought in another state court sitting in the State of Delaware. To the fullest extent permitted by law, any person or entity purchasing or otherwise acquiring or holding any interest in shares of capital stock of the Corporation shall be deemed to have notice of and consented to the provisions of this Article XI(B).</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68" w:right="259" w:bottom="1440" w:gutter="0" w:footer="0" w:header="0"/>
        </w:sectPr>
      </w:pPr>
    </w:p>
    <w:bookmarkStart w:id="19" w:name="page20"/>
    <w:bookmarkEnd w:id="19"/>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National Vision Holdings, Inc. has caused this Second Amended and Restated Certificate of Incorporation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its duly authorized officer on this 30 day of October, 2017.</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Amended and Restated Certificate of Incorporation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83"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Registered Office</w:t>
      </w:r>
      <w:r>
        <w:rPr>
          <w:rFonts w:ascii="Arial" w:cs="Arial" w:eastAsia="Arial" w:hAnsi="Arial"/>
          <w:sz w:val="17"/>
          <w:szCs w:val="17"/>
          <w:color w:val="auto"/>
        </w:rPr>
        <w:t>. The registered office and registered agent of National Vision Holdings,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in the State of Delaware shall be as set forth in the Second Amended and Restated Certificate of Incorporation (as defined below). The Corporation may also have offices in such other places in the United States or elsewhere (and may change the Corporation’s registered agent) as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may, from time to time, determine or as the business of the Corporation may require.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83" w:lineRule="exact"/>
        <w:rPr>
          <w:sz w:val="20"/>
          <w:szCs w:val="20"/>
          <w:color w:val="auto"/>
        </w:rPr>
      </w:pPr>
    </w:p>
    <w:p>
      <w:pPr>
        <w:jc w:val="both"/>
        <w:ind w:right="100" w:firstLine="1297"/>
        <w:spacing w:after="0" w:line="297"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Annual Meetings</w:t>
      </w:r>
      <w:r>
        <w:rPr>
          <w:rFonts w:ascii="Arial" w:cs="Arial" w:eastAsia="Arial" w:hAnsi="Arial"/>
          <w:sz w:val="16"/>
          <w:szCs w:val="16"/>
          <w:color w:val="auto"/>
        </w:rPr>
        <w:t>.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meetings of stockholders shall not be held at any place, but may instead be held solely by means of remote communication as described in Section 2.11 of these Bylaws in accordance with Section 211(a)(2)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The Board of Directors may postpone, reschedule or cancel any annual meeting of stockholders previously scheduled by the Board of Directors.</w:t>
      </w:r>
    </w:p>
    <w:p>
      <w:pPr>
        <w:spacing w:after="0" w:line="21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may only be called in the manner provided in the Corporation’s amended and restated certificate of incorporation as then in effect (as the same may be amended and/or restated from time to time, the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Amended and Restated Certificate of Incorporation</w:t>
      </w:r>
      <w:r>
        <w:rPr>
          <w:rFonts w:ascii="Arial" w:cs="Arial" w:eastAsia="Arial" w:hAnsi="Arial"/>
          <w:sz w:val="17"/>
          <w:szCs w:val="17"/>
          <w:color w:val="auto"/>
        </w:rPr>
        <w:t xml:space="preserve">”) and may be held at such place, if any, either within or without the State of Delaware, and at such time and date as the Board of Directors or the Chairman of the Board of Directors shall determine and state in the notice of meeting. The Board of Directors may postpone, reschedule or cancel any special meeting of stockholders previously scheduled by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with respect to any special meeting of stockholders previously scheduled by the Board of Directors or the Chairman of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at the request of KKR (as defined in the Second Amended and Restated Certificate of Incorporation) or Berkshire (as defined in the Second Amended and Restated Certificate of Incorporation), the Board of Directors shall not postpone, reschedule or cancel such special meeting without the prior written consent of KKR or Berkshire,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ind w:left="1260"/>
        <w:spacing w:after="0"/>
        <w:tabs>
          <w:tab w:leader="none" w:pos="29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Notice of Stockholder Business and Nominations</w:t>
      </w:r>
      <w:r>
        <w:rPr>
          <w:rFonts w:ascii="Arial" w:cs="Arial" w:eastAsia="Arial" w:hAnsi="Arial"/>
          <w:sz w:val="16"/>
          <w:szCs w:val="16"/>
          <w:color w:val="auto"/>
        </w:rPr>
        <w:t>.</w:t>
      </w:r>
    </w:p>
    <w:p>
      <w:pPr>
        <w:spacing w:after="0" w:line="279" w:lineRule="exact"/>
        <w:rPr>
          <w:sz w:val="20"/>
          <w:szCs w:val="20"/>
          <w:color w:val="auto"/>
        </w:rPr>
      </w:pPr>
    </w:p>
    <w:p>
      <w:pPr>
        <w:ind w:left="2060" w:hanging="795"/>
        <w:spacing w:after="0"/>
        <w:tabs>
          <w:tab w:leader="none" w:pos="20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79" w:lineRule="exact"/>
        <w:rPr>
          <w:sz w:val="20"/>
          <w:szCs w:val="20"/>
          <w:color w:val="auto"/>
        </w:rPr>
      </w:pPr>
    </w:p>
    <w:p>
      <w:pPr>
        <w:ind w:left="-40" w:right="100" w:firstLine="1305"/>
        <w:spacing w:after="0" w:line="272" w:lineRule="auto"/>
        <w:tabs>
          <w:tab w:leader="none" w:pos="20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the stockholders may be made at an annual meeting of stockholders only (a) as provided in the Stockholders Agreement (as defined in the Second Amended and Restated Certificate of Incorporation) (with respect to nominations of persons for election to the Board of Directors only), (b) pursuant to the Corporation’s notice of meeting (or any supplement thereto) delivered pursuant to Section 2.04 of Article II of these Bylaws, (c) by or at the direction of the Board of Directors or any authorized committee thereof or (d) by any stockholder of the Corporation who is entitled to vote at the meeting, who, subject to paragraph (C)(4) of this Section 2.03, complied with the notice procedures set forth in paragraphs (A)(2) and (A)(3) of this Section 2.03 and who was a stockholder of record at the time such notice is delivered to the Secretary of the Corporation.</w:t>
      </w:r>
    </w:p>
    <w:p>
      <w:pPr>
        <w:spacing w:after="0" w:line="231" w:lineRule="exact"/>
        <w:rPr>
          <w:rFonts w:ascii="Arial" w:cs="Arial" w:eastAsia="Arial" w:hAnsi="Arial"/>
          <w:sz w:val="17"/>
          <w:szCs w:val="17"/>
          <w:color w:val="auto"/>
        </w:rPr>
      </w:pPr>
    </w:p>
    <w:p>
      <w:pPr>
        <w:ind w:left="-40" w:firstLine="1305"/>
        <w:spacing w:after="0" w:line="285" w:lineRule="auto"/>
        <w:tabs>
          <w:tab w:leader="none" w:pos="20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clause (d) of paragraph (A)(1) of this Section 2.03, the stockholder must have given timely notice thereof in writing to the Secretary of the Corporation, and, in the case of business other than nominations of persons for election to the Board of Directors, such other business must constitute a proper matter for stockholder action. To be timely, a stockholder’s notice shall be delivered to the Secretary of the Corporation at the principal executive offices of the Corporation not less than ninety (90) days nor more than one hundred and twenty (120) days prior to the first anniversary of the preceding year’s annual meeting (which date shall, for purposes of the Corporation’s first annual meeting of stockholders after its shares of Common Stock are first publicly traded, be deemed to have occurred on October 30, 2017);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by more than thirty (30) days or delayed by more than seventy (70) days from the anniversary date of the previous year’s meeting, or if no annual meeting was held in the preceding year, notice by the stockholder to be timely must be so delivered not earlier than one hundred and twenty (120) days prior to such annual meeting and not later than the close of business on the later of the ninetieth (90th) day prior to such annual meeting or the tenth (10th) day following the day on which public announcement of the date of such meeting is first made. Public announcement of an adjournment or postponement of an annual meeting shall not commence a new time period (or extend any time period) for the giving of a stockholder’s notice. Notwithstanding anything in this Section 2.03(A)(2)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one hundred (100) calendar days prior to the first anniversary of the prior year’s annual meeting of stockholders, then a stockholder’s notice required by this Section shall be considered timely, but only with respect to nominees for any new positions created by such increase, if it is received by the Secretary of the Corporation not later than the close of business on the tenth (10th) calendar day following the day on which such public announcement is first made by the Corporation.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22" w:name="page23"/>
    <w:bookmarkEnd w:id="22"/>
    <w:p>
      <w:pPr>
        <w:ind w:left="-8" w:right="20" w:firstLine="1305"/>
        <w:spacing w:after="0" w:line="282" w:lineRule="auto"/>
        <w:tabs>
          <w:tab w:leader="none" w:pos="2039"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Such stockholder’s notice shall set forth (a)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that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that will (x) deliver a proxy statement and/or form of proxy to holders of at least the percentage of the voting power of the Corporation’s outstanding capital stock required to approve or adopt the proposal or elect the nominee and/or (y) otherwise to solicit proxies or votes from stockholders in support of such proposal or nomination, (v) a certification regarding whether such stockholder and beneficial owner, if any, have complied with all applicable federal, state and other legal requirements in connection with (x) the stockholder’s and/or beneficial owner’s acquisition of shares of capital stock or other securities of the Corporation and/or the stockholder’s and/or (y) the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6"/>
          <w:szCs w:val="16"/>
          <w:u w:val="single" w:color="auto"/>
          <w:color w:val="auto"/>
        </w:rPr>
        <w:t>proponent persons</w:t>
      </w:r>
      <w:r>
        <w:rPr>
          <w:rFonts w:ascii="Arial" w:cs="Arial" w:eastAsia="Arial" w:hAnsi="Arial"/>
          <w:sz w:val="16"/>
          <w:szCs w:val="16"/>
          <w:color w:val="auto"/>
        </w:rPr>
        <w:t xml:space="preserve">”); and (e) 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of Directors or other business proposed to be brought before a meeting (whether given pursuant to this paragraph (A)(3) or paragraph (B) of this Section 2.03 of these Bylaws)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w:t>
      </w:r>
    </w:p>
    <w:p>
      <w:pPr>
        <w:spacing w:after="0" w:line="10" w:lineRule="exact"/>
        <w:rPr>
          <w:rFonts w:ascii="Arial" w:cs="Arial" w:eastAsia="Arial" w:hAnsi="Arial"/>
          <w:sz w:val="16"/>
          <w:szCs w:val="16"/>
          <w:color w:val="auto"/>
        </w:rPr>
      </w:pPr>
    </w:p>
    <w:p>
      <w:pPr>
        <w:ind w:left="-8" w:firstLine="8"/>
        <w:spacing w:after="0" w:line="287" w:lineRule="auto"/>
        <w:tabs>
          <w:tab w:leader="none" w:pos="247" w:val="left"/>
        </w:tabs>
        <w:numPr>
          <w:ilvl w:val="0"/>
          <w:numId w:val="27"/>
        </w:numPr>
        <w:rPr>
          <w:rFonts w:ascii="Arial" w:cs="Arial" w:eastAsia="Arial" w:hAnsi="Arial"/>
          <w:sz w:val="16"/>
          <w:szCs w:val="16"/>
          <w:color w:val="auto"/>
        </w:rPr>
      </w:pPr>
      <w:r>
        <w:rPr>
          <w:rFonts w:ascii="Arial" w:cs="Arial" w:eastAsia="Arial" w:hAnsi="Arial"/>
          <w:sz w:val="16"/>
          <w:szCs w:val="16"/>
          <w:color w:val="auto"/>
        </w:rPr>
        <w:t>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3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95" w:right="239" w:bottom="1440" w:gutter="0" w:footer="0" w:header="0"/>
        </w:sectPr>
      </w:pPr>
    </w:p>
    <w:bookmarkStart w:id="23" w:name="page24"/>
    <w:bookmarkEnd w:id="23"/>
    <w:p>
      <w:pPr>
        <w:ind w:left="-20" w:firstLine="1305"/>
        <w:spacing w:after="0" w:line="268" w:lineRule="auto"/>
        <w:tabs>
          <w:tab w:leader="none" w:pos="205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as provided in the Stockholders Agreement, (2) by or at the direction of the Board of Directors or any committee thereof or (3) provided that the Board of Directors (or KKR or Berkshire pursuant to Section B of Article VIII of the Second Amended and Restated Certificate of Incorporation) has determined that directors shall be elected at such meeting, by any stockholder of the Corporation who is entitled to vote at the meeting, who (subject to paragraph (C)(4) of this Section 2.03) complies with the notice procedures set forth in this Section 2.03 and who is a stockholder of record at the time such notice is delivered to the Secretary of the Corporation. In the event a special meeting of stockholders is called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as required by paragraph (A)(2) of this Section 2.03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237" w:lineRule="exact"/>
        <w:rPr>
          <w:rFonts w:ascii="Arial" w:cs="Arial" w:eastAsia="Arial" w:hAnsi="Arial"/>
          <w:sz w:val="17"/>
          <w:szCs w:val="17"/>
          <w:color w:val="auto"/>
        </w:rPr>
      </w:pPr>
    </w:p>
    <w:p>
      <w:pPr>
        <w:ind w:left="-20" w:firstLine="1305"/>
        <w:spacing w:after="0" w:line="284" w:lineRule="auto"/>
        <w:tabs>
          <w:tab w:leader="none" w:pos="205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(1) Except as provided in paragraph (C)(4) of this Section 2.03, only such persons who are nominated in accordance with the procedures set forth in this Section 2.03 or the Stockholders Agreement shall be eligible to serve as directors and only such business shall be conducted at an annual or special meeting of stockholders as shall have been brought before the meeting in accordance with the procedures set forth in this Section. Except as otherwise provided by law, the Second Amended and Restated Certificate of Incorporation or these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chairman of the meeting. The Board of Directors may adopt by resolution such rules and regulations for the conduct of the meeting of stockholders as it shall deem appropriate. Except to the extent inconsistent with such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Notwithstanding the foregoing provisions of this Section 2.03, unless otherwise required by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Section 2.03,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chairman of the meeting, meetings of stockholders shall not be required to be held in accordance with the rules of parliamentary procedure.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24" w:name="page25"/>
    <w:bookmarkEnd w:id="24"/>
    <w:p>
      <w:pPr>
        <w:jc w:val="both"/>
        <w:ind w:right="20" w:firstLine="1305"/>
        <w:spacing w:after="0" w:line="302" w:lineRule="auto"/>
        <w:tabs>
          <w:tab w:leader="none" w:pos="2047"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Whenever used in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xml:space="preserve">” shall mean disclosure (a) in a press release released by the Corporation,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such press release is released by the Corporation following its customary procedures, is reported by the Dow Jones News Service, Associated Press</w:t>
      </w:r>
      <w:r>
        <w:rPr>
          <w:rFonts w:ascii="Arial" w:cs="Arial" w:eastAsia="Arial" w:hAnsi="Arial"/>
          <w:sz w:val="16"/>
          <w:szCs w:val="16"/>
          <w:i w:val="1"/>
          <w:iCs w:val="1"/>
          <w:color w:val="auto"/>
        </w:rPr>
        <w:t xml:space="preserve"> </w:t>
      </w:r>
      <w:r>
        <w:rPr>
          <w:rFonts w:ascii="Arial" w:cs="Arial" w:eastAsia="Arial" w:hAnsi="Arial"/>
          <w:sz w:val="16"/>
          <w:szCs w:val="16"/>
          <w:color w:val="auto"/>
        </w:rPr>
        <w:t>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spacing w:after="0" w:line="208" w:lineRule="exact"/>
        <w:rPr>
          <w:rFonts w:ascii="Arial" w:cs="Arial" w:eastAsia="Arial" w:hAnsi="Arial"/>
          <w:sz w:val="16"/>
          <w:szCs w:val="16"/>
          <w:color w:val="auto"/>
        </w:rPr>
      </w:pPr>
    </w:p>
    <w:p>
      <w:pPr>
        <w:ind w:firstLine="1305"/>
        <w:spacing w:after="0" w:line="291" w:lineRule="auto"/>
        <w:tabs>
          <w:tab w:leader="none" w:pos="2047"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Section 2.03, a stockholder shall also comply with all applicable requirements of the Exchange Act and the rules and regulations promulgated thereunder with respect to the matters set forth in this Section 2.03;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paragraphs (A)(1)(d) and (B) hereof), and compliance with paragraphs (A)(1)(d) and (B) of this Section 2.03 of these Bylaws shall be the exclusive means for a stockholder to make nominations or submit other business. Nothing in these Bylaws shall be deemed to affect any rights of the holders of any class or series of stock having a preference over the Common Stock as to dividends or upon liquidation to elect directors under specified circumstances.</w:t>
      </w:r>
    </w:p>
    <w:p>
      <w:pPr>
        <w:spacing w:after="0" w:line="221" w:lineRule="exact"/>
        <w:rPr>
          <w:rFonts w:ascii="Arial" w:cs="Arial" w:eastAsia="Arial" w:hAnsi="Arial"/>
          <w:sz w:val="16"/>
          <w:szCs w:val="16"/>
          <w:color w:val="auto"/>
        </w:rPr>
      </w:pPr>
    </w:p>
    <w:p>
      <w:pPr>
        <w:ind w:right="60" w:firstLine="1305"/>
        <w:spacing w:after="0" w:line="257" w:lineRule="auto"/>
        <w:tabs>
          <w:tab w:leader="none" w:pos="20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2.03, for as long as (i) the Stockholders Agreement remains in effect with respect to KKR and Berkshire and/or (ii) KKR and Berkshire beneficially own collectively, in the aggregate, at least 40% in voting power of the stock of the Corporation entitled to vote generally in the election of directors, KKR and Berkshire (to the extent then subject to the Stockholders Agreement) shall not be subject to the notice procedures set forth in paragraphs (A)(2), (A)(3) or (B) of this Section 2.03 with respect to any annual or special meeting of stockholders.</w:t>
      </w:r>
    </w:p>
    <w:p>
      <w:pPr>
        <w:spacing w:after="0" w:line="242"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or transmitted electronically by the Secretary of the Corporation to each stockholder of record entitled to vote thereat as of the record date for determining the stockholders entitled to notice of the meeting. Unless otherwise provided by law, the Second Amended and Restated Certificate of Incorporation or these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5" w:name="page26"/>
    <w:bookmarkEnd w:id="25"/>
    <w:p>
      <w:pPr>
        <w:ind w:right="260" w:firstLine="1297"/>
        <w:spacing w:after="0" w:line="255"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Quorum</w:t>
      </w:r>
      <w:r>
        <w:rPr>
          <w:rFonts w:ascii="Arial" w:cs="Arial" w:eastAsia="Arial" w:hAnsi="Arial"/>
          <w:sz w:val="18"/>
          <w:szCs w:val="18"/>
          <w:color w:val="auto"/>
        </w:rPr>
        <w:t>. Unless otherwise required by law, the Second Amended and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243"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Voting</w:t>
      </w:r>
      <w:r>
        <w:rPr>
          <w:rFonts w:ascii="Arial" w:cs="Arial" w:eastAsia="Arial" w:hAnsi="Arial"/>
          <w:sz w:val="17"/>
          <w:szCs w:val="17"/>
          <w:color w:val="auto"/>
        </w:rPr>
        <w:t>. Except as otherwise provided by or pursuant to the provisions of the Second Amended and Restated Certificate of Incorporation, each stockholder entitled to vote at any meeting of stockholders shall be entitled to one vote for each share of stock held by such stockholder that has voting power upon the matter in question.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Second Amended and Restated 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Second Amended and Restated Certificate of Incorporation or of these Bylaws, a different vote is required, in which case such express provision shall govern and control the decision of such question. Notwithstanding the foregoing sentence and subject to the Second Amended and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247" w:lineRule="exact"/>
        <w:rPr>
          <w:sz w:val="20"/>
          <w:szCs w:val="20"/>
          <w:color w:val="auto"/>
        </w:rPr>
      </w:pPr>
    </w:p>
    <w:p>
      <w:pPr>
        <w:ind w:right="420" w:firstLine="1297"/>
        <w:spacing w:after="0" w:line="312"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Chairman of Meetings</w:t>
      </w:r>
      <w:r>
        <w:rPr>
          <w:rFonts w:ascii="Arial" w:cs="Arial" w:eastAsia="Arial" w:hAnsi="Arial"/>
          <w:sz w:val="16"/>
          <w:szCs w:val="16"/>
          <w:color w:val="auto"/>
        </w:rPr>
        <w:t>. The Chairman of the Board of Directors, if one is elected, or, in his or her absence or disability, the Chief Executive Officer of the Corporation, or in the absence of the Chairman of the Board of Directors and the Chief Executive Officer, a person designated by the Board of Directors shall be the chairman of the meeting and, as such, preside at all meetings of the stockholders.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6" w:name="page27"/>
    <w:bookmarkEnd w:id="26"/>
    <w:p>
      <w:pPr>
        <w:jc w:val="both"/>
        <w:ind w:right="80" w:firstLine="1297"/>
        <w:spacing w:after="0" w:line="26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Secretary of Meetings</w:t>
      </w:r>
      <w:r>
        <w:rPr>
          <w:rFonts w:ascii="Arial" w:cs="Arial" w:eastAsia="Arial" w:hAnsi="Arial"/>
          <w:sz w:val="18"/>
          <w:szCs w:val="18"/>
          <w:color w:val="auto"/>
        </w:rPr>
        <w:t>. The Secretary of the Corporation shall act as secretary at all meetings of the stockholders. In the absence or disability of the Secretary, the Chairman of the Board of Directors, the Chief Executive Officer or the chairman of the meeting shall appoint a person to act as secretary at such meetings.</w:t>
      </w:r>
    </w:p>
    <w:p>
      <w:pPr>
        <w:spacing w:after="0" w:line="23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Consent of Stockholders in Lieu of Meeting</w:t>
      </w:r>
      <w:r>
        <w:rPr>
          <w:rFonts w:ascii="Arial" w:cs="Arial" w:eastAsia="Arial" w:hAnsi="Arial"/>
          <w:sz w:val="18"/>
          <w:szCs w:val="18"/>
          <w:color w:val="auto"/>
        </w:rPr>
        <w:t>. Any action required or permitted to be taken at any annual or special meeting of stockholders of the Corporation may be taken without a meeting, without prior notice and without a vote only in the manner provided in the Second Amended and Restated Certificate of Incorporation and in accordance with applicable law.</w:t>
      </w:r>
    </w:p>
    <w:p>
      <w:pPr>
        <w:spacing w:after="0" w:line="23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Adjournment</w:t>
      </w:r>
      <w:r>
        <w:rPr>
          <w:rFonts w:ascii="Arial" w:cs="Arial" w:eastAsia="Arial" w:hAnsi="Arial"/>
          <w:sz w:val="17"/>
          <w:szCs w:val="17"/>
          <w:color w:val="auto"/>
        </w:rPr>
        <w:t>. At any meeting of stockholders of the Corporation, if less than a quorum be present, the chairman of the meeting or stockholders holding a majority in voting power of the shares of stock of the Corporation, present in person or by proxy and entitled to vote thereat, shall have the power to adjourn the meeting from time to time without notice other than announcement at the meeting until a quorum shall be present. 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236"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Remote Communication</w:t>
      </w:r>
      <w:r>
        <w:rPr>
          <w:rFonts w:ascii="Arial" w:cs="Arial" w:eastAsia="Arial" w:hAnsi="Arial"/>
          <w:sz w:val="18"/>
          <w:szCs w:val="18"/>
          <w:color w:val="auto"/>
        </w:rPr>
        <w:t>. If authorized by the Board of Directors in its sole discretion, and subject to such guidelines and procedures as the Board of Directors may adopt, stockholders and proxy holders not physically present at a meeting of stockholders may, by means of remote communication:</w:t>
      </w:r>
    </w:p>
    <w:p>
      <w:pPr>
        <w:spacing w:after="0" w:line="235" w:lineRule="exact"/>
        <w:rPr>
          <w:sz w:val="20"/>
          <w:szCs w:val="20"/>
          <w:color w:val="auto"/>
        </w:rPr>
      </w:pPr>
    </w:p>
    <w:p>
      <w:pPr>
        <w:ind w:left="2100" w:hanging="795"/>
        <w:spacing w:after="0"/>
        <w:tabs>
          <w:tab w:leader="none" w:pos="2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79" w:lineRule="exact"/>
        <w:rPr>
          <w:rFonts w:ascii="Arial" w:cs="Arial" w:eastAsia="Arial" w:hAnsi="Arial"/>
          <w:sz w:val="18"/>
          <w:szCs w:val="18"/>
          <w:color w:val="auto"/>
        </w:rPr>
      </w:pPr>
    </w:p>
    <w:p>
      <w:pPr>
        <w:ind w:right="240" w:firstLine="1305"/>
        <w:spacing w:after="0" w:line="277" w:lineRule="auto"/>
        <w:tabs>
          <w:tab w:leader="none" w:pos="20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18"/>
          <w:szCs w:val="18"/>
          <w:i w:val="1"/>
          <w:iCs w:val="1"/>
          <w:color w:val="auto"/>
        </w:rPr>
        <w:t>provided</w:t>
      </w:r>
      <w:r>
        <w:rPr>
          <w:rFonts w:ascii="Arial" w:cs="Arial" w:eastAsia="Arial" w:hAnsi="Arial"/>
          <w:sz w:val="18"/>
          <w:szCs w:val="18"/>
          <w:color w:val="auto"/>
        </w:rPr>
        <w:t>, that</w:t>
      </w:r>
    </w:p>
    <w:p>
      <w:pPr>
        <w:spacing w:after="0" w:line="224" w:lineRule="exact"/>
        <w:rPr>
          <w:sz w:val="20"/>
          <w:szCs w:val="20"/>
          <w:color w:val="auto"/>
        </w:rPr>
      </w:pPr>
    </w:p>
    <w:p>
      <w:pPr>
        <w:ind w:right="400" w:firstLine="1305"/>
        <w:spacing w:after="0" w:line="277" w:lineRule="auto"/>
        <w:tabs>
          <w:tab w:leader="none" w:pos="20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Corporation shall implement reasonable measures to verify that each person deemed present and permitted to vote at the meeting by means of remote communication is a stockholder or proxyholder;</w:t>
      </w:r>
    </w:p>
    <w:p>
      <w:pPr>
        <w:spacing w:after="0" w:line="224" w:lineRule="exact"/>
        <w:rPr>
          <w:rFonts w:ascii="Arial" w:cs="Arial" w:eastAsia="Arial" w:hAnsi="Arial"/>
          <w:sz w:val="18"/>
          <w:szCs w:val="18"/>
          <w:color w:val="auto"/>
        </w:rPr>
      </w:pPr>
    </w:p>
    <w:p>
      <w:pPr>
        <w:ind w:right="40" w:firstLine="1305"/>
        <w:spacing w:after="0" w:line="264" w:lineRule="auto"/>
        <w:tabs>
          <w:tab w:leader="none" w:pos="20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235" w:lineRule="exact"/>
        <w:rPr>
          <w:rFonts w:ascii="Arial" w:cs="Arial" w:eastAsia="Arial" w:hAnsi="Arial"/>
          <w:sz w:val="18"/>
          <w:szCs w:val="18"/>
          <w:color w:val="auto"/>
        </w:rPr>
      </w:pPr>
    </w:p>
    <w:p>
      <w:pPr>
        <w:ind w:right="20" w:firstLine="1305"/>
        <w:spacing w:after="0" w:line="277" w:lineRule="auto"/>
        <w:tabs>
          <w:tab w:leader="none" w:pos="20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any stockholder or proxyholder votes or takes other action at the meeting by means of remote communication, a record of such vote or other action shall be maintained by the Corporation.</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27" w:name="page28"/>
    <w:bookmarkEnd w:id="27"/>
    <w:p>
      <w:pPr>
        <w:ind w:firstLine="1297"/>
        <w:spacing w:after="0" w:line="268"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83"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Powers</w:t>
      </w:r>
      <w:r>
        <w:rPr>
          <w:rFonts w:ascii="Arial" w:cs="Arial" w:eastAsia="Arial" w:hAnsi="Arial"/>
          <w:sz w:val="18"/>
          <w:szCs w:val="18"/>
          <w:color w:val="auto"/>
        </w:rPr>
        <w:t>. Except as otherwise provided in the Second Amended and Restated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Second Amended and Restated Certificate of Incorporation directed or required to be exercised or done by the stockholders.</w:t>
      </w:r>
    </w:p>
    <w:p>
      <w:pPr>
        <w:spacing w:after="0" w:line="241"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Number and Term; Chairman</w:t>
      </w:r>
      <w:r>
        <w:rPr>
          <w:rFonts w:ascii="Arial" w:cs="Arial" w:eastAsia="Arial" w:hAnsi="Arial"/>
          <w:sz w:val="18"/>
          <w:szCs w:val="18"/>
          <w:color w:val="auto"/>
        </w:rPr>
        <w:t>. Subject to the Second Amended and Restated Certificate of Incorporation and the Stockholders Agreement, the number of directors shall be fixed exclusively by resolution of the Board of Directors. Directors shall be elected by the stockholders at their annual meeting, and the term of each director so elected shall be as set forth in the Second Amended and Restated Certificate of Incorporation. Directors need not be stockholders. The Board of Directors shall elect a Chairman of the Board of Directors, who shall have the powers and perform such duties as provided in these Bylaws and as the Board of Directors may from time to time prescribe. The Chairman of the Board of Directors shall preside at all meetings of the Board of Directors at which he or she is present. If the Chairman of the Board of Directors is not present at a meeting of the Board of Directors, the Chief Executive Officer (if the Chief Executive Officer is a director and is not also the Chairman of the Board of Directors) shall preside at such meeting, and, if the Chief Executive Officer is not present at such meeting or is not a director, a majority of the directors present at such meeting shall elect one of their members to preside.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8" w:name="page29"/>
    <w:bookmarkEnd w:id="28"/>
    <w:p>
      <w:pPr>
        <w:ind w:right="80" w:firstLine="1297"/>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at any time upon notice given in writing or by electronic transmission to the Board of Directors, the Chairman of the Board of Directors, the Chief Executive Officer or the Secretary of the Corporation. The resignation shall take effect at the time specified therein, and if no time is specified, at the time of its receipt. The acceptance of a resignation shall not be necessary to make it effective unless otherwise expressly provided in the resignation.</w:t>
      </w:r>
    </w:p>
    <w:p>
      <w:pPr>
        <w:spacing w:after="0" w:line="241"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Removal</w:t>
      </w:r>
      <w:r>
        <w:rPr>
          <w:rFonts w:ascii="Arial" w:cs="Arial" w:eastAsia="Arial" w:hAnsi="Arial"/>
          <w:sz w:val="18"/>
          <w:szCs w:val="18"/>
          <w:color w:val="auto"/>
        </w:rPr>
        <w:t>. Directors of the Corporation may be removed in the manner provided in the Second Amended and Restated Certificate of Incorporation, the Stockholders Agreement and applicable law.</w:t>
      </w:r>
    </w:p>
    <w:p>
      <w:pPr>
        <w:spacing w:after="0" w:line="22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Except as otherwise provided by applicable law and subject to the Stockholders Agreement, vacancies occurring in any directorship (whether by death, resignation, retirement, disqualification, removal or other cause) and newly created directorships resulting from any increase in the number of directors shall be filled in accordance with the Second Amended and Restated Certificate of Incorporation.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247"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Meetings</w:t>
      </w:r>
      <w:r>
        <w:rPr>
          <w:rFonts w:ascii="Arial" w:cs="Arial" w:eastAsia="Arial" w:hAnsi="Arial"/>
          <w:sz w:val="17"/>
          <w:szCs w:val="17"/>
          <w:color w:val="auto"/>
        </w:rPr>
        <w:t>. Regular meetings of the Board of Directors may be held at such places and times as shall be determined from time to time by the Board of Directors. Special meetings of the Board of Directors may be called by the Chief Executive Officer of the Corporation or the Chairman of the Board of Directors or as provided by the Second Amended and Restated Certificate of Incorporation, and shall be called by the Chief Executive Officer or the Secretary of the Corporation if directed by the Board of Directors and shall be at such places and times as they or he or she shall fix. Special meetings of the Board of Directors may be also called by KKR or Berkshire at any time when KKR and Berkshire beneficially own collectively, in the aggregate, at least 40% in voting power of the stock of the Corporation entitled to vote generally in the election of directors, and shall be at such places and times as KKR or Berkshire, as applicable, shall fix. Notice need not be given of regular meetings of the Board of Directors. At least twenty four (24) hours before each special meeting of the Board of Directors, either written notice, notice by electronic transmission or oral notice (either in person or by telephone) notice of the time, date and place of the meeting shall be given to each director. Unless otherwise indicated in the notice thereof, any and all business may be transacted at a special meeting.</w:t>
      </w:r>
    </w:p>
    <w:p>
      <w:pPr>
        <w:spacing w:after="0" w:line="232"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Quorum, Voting and Adjournment</w:t>
      </w:r>
      <w:r>
        <w:rPr>
          <w:rFonts w:ascii="Arial" w:cs="Arial" w:eastAsia="Arial" w:hAnsi="Arial"/>
          <w:sz w:val="18"/>
          <w:szCs w:val="18"/>
          <w:color w:val="auto"/>
        </w:rPr>
        <w:t>. A majority of the total number of directors shall constitute a quorum for the transaction of business. Except as otherwise provided by law, the Second Amended and Restated Certificate of Incorporation or these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9" w:name="page30"/>
    <w:bookmarkEnd w:id="29"/>
    <w:p>
      <w:pPr>
        <w:ind w:firstLine="1297"/>
        <w:spacing w:after="0" w:line="285"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Committees; Committee Rules</w:t>
      </w:r>
      <w:r>
        <w:rPr>
          <w:rFonts w:ascii="Arial" w:cs="Arial" w:eastAsia="Arial" w:hAnsi="Arial"/>
          <w:sz w:val="16"/>
          <w:szCs w:val="16"/>
          <w:color w:val="auto"/>
        </w:rPr>
        <w:t>. The Board of Directors may designate one or more committees, including but not limited to an Audit Committee and a Compensation Committee, each such committee to consist of one or more of the directors of the Corporation subject to the terms of the Stockholders Agreement.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29" w:lineRule="exact"/>
        <w:rPr>
          <w:sz w:val="20"/>
          <w:szCs w:val="20"/>
          <w:color w:val="auto"/>
        </w:rPr>
      </w:pPr>
    </w:p>
    <w:p>
      <w:pPr>
        <w:ind w:right="180" w:firstLine="1297"/>
        <w:spacing w:after="0" w:line="297"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Action Without a Meeting</w:t>
      </w:r>
      <w:r>
        <w:rPr>
          <w:rFonts w:ascii="Arial" w:cs="Arial" w:eastAsia="Arial" w:hAnsi="Arial"/>
          <w:sz w:val="16"/>
          <w:szCs w:val="16"/>
          <w:color w:val="auto"/>
        </w:rPr>
        <w:t>. Unless otherwise restricted by the Second Amended and Restated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and the writing or writings or electronic transmission or transmissions are filed in the minutes of proceedings of the Board of Directors. Such filing shall be in paper form if the minutes are maintained in paper form or shall be in electronic form if the minutes are maintained in electronic form.</w:t>
      </w:r>
    </w:p>
    <w:p>
      <w:pPr>
        <w:spacing w:after="0" w:line="212"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Remote Meeting</w:t>
      </w:r>
      <w:r>
        <w:rPr>
          <w:rFonts w:ascii="Arial" w:cs="Arial" w:eastAsia="Arial" w:hAnsi="Arial"/>
          <w:sz w:val="17"/>
          <w:szCs w:val="17"/>
          <w:color w:val="auto"/>
        </w:rPr>
        <w:t>. Unless otherwise restricted by the Second Amended and Restated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0" w:name="page31"/>
    <w:bookmarkEnd w:id="30"/>
    <w:p>
      <w:pPr>
        <w:ind w:right="740" w:firstLine="1297"/>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The Board of Directors shall have the authority to fix the compensation, including fees and reimbursement of expenses, of directors for services to the Corporation in any capacity.</w:t>
      </w:r>
    </w:p>
    <w:p>
      <w:pPr>
        <w:spacing w:after="0" w:line="224" w:lineRule="exact"/>
        <w:rPr>
          <w:sz w:val="20"/>
          <w:szCs w:val="20"/>
          <w:color w:val="auto"/>
        </w:rPr>
      </w:pPr>
    </w:p>
    <w:p>
      <w:pPr>
        <w:jc w:val="both"/>
        <w:ind w:right="60" w:firstLine="1297"/>
        <w:spacing w:after="0" w:line="276"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Reliance on Books and Records.</w:t>
      </w:r>
      <w:r>
        <w:rPr>
          <w:rFonts w:ascii="Arial" w:cs="Arial" w:eastAsia="Arial" w:hAnsi="Arial"/>
          <w:sz w:val="17"/>
          <w:szCs w:val="17"/>
          <w:color w:val="auto"/>
        </w:rPr>
        <w:t xml:space="preserve">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Officers</w:t>
      </w:r>
    </w:p>
    <w:p>
      <w:pPr>
        <w:spacing w:after="0" w:line="283" w:lineRule="exact"/>
        <w:rPr>
          <w:sz w:val="20"/>
          <w:szCs w:val="20"/>
          <w:color w:val="auto"/>
        </w:rPr>
      </w:pPr>
    </w:p>
    <w:p>
      <w:pPr>
        <w:jc w:val="both"/>
        <w:ind w:right="100" w:firstLine="1297"/>
        <w:spacing w:after="0" w:line="293"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Number.</w:t>
      </w:r>
      <w:r>
        <w:rPr>
          <w:rFonts w:ascii="Arial" w:cs="Arial" w:eastAsia="Arial" w:hAnsi="Arial"/>
          <w:sz w:val="16"/>
          <w:szCs w:val="16"/>
          <w:color w:val="auto"/>
        </w:rPr>
        <w:t xml:space="preserve"> The officers of the Corporation shall include a Chief Executive Officer, a President, a principal financial officer, a principal accounting officer and a Secretary,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one or more Vice Presidents, including one or more Executive Vice Presidents, Senior Vice Presidents, a Treasurer and one or more Assistant Treasurers and one or more Assistant Secretaries, who shall hold their office for such terms and shall exercise such powers and perform such duties as shall be determined from time to time by the Board of Directors. Any number of offices may be held by the same person.</w:t>
      </w:r>
    </w:p>
    <w:p>
      <w:pPr>
        <w:spacing w:after="0" w:line="21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Other Officers and Agents</w:t>
      </w:r>
      <w:r>
        <w:rPr>
          <w:rFonts w:ascii="Arial" w:cs="Arial" w:eastAsia="Arial" w:hAnsi="Arial"/>
          <w:sz w:val="18"/>
          <w:szCs w:val="18"/>
          <w:color w:val="auto"/>
        </w:rPr>
        <w:t>.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Chairman, each of whom does not need to be a member of the Board of Directors.</w:t>
      </w:r>
    </w:p>
    <w:p>
      <w:pPr>
        <w:spacing w:after="0" w:line="24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Chief Executive Officer/President</w:t>
      </w:r>
      <w:r>
        <w:rPr>
          <w:rFonts w:ascii="Arial" w:cs="Arial" w:eastAsia="Arial" w:hAnsi="Arial"/>
          <w:sz w:val="18"/>
          <w:szCs w:val="18"/>
          <w:color w:val="auto"/>
        </w:rPr>
        <w:t>. The Chief Executive Officer, who may also be the President, subject to the determination of the Board of Directors,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Chairman of the Board of Directors or in the absence or inability to act as the Chairman of the Board of Directors, the Chief Executive Officer shall exercise all of the powers and discharge all of the duties of the Chairman of the Board of Directors, but only if the Chief Executive Officer is a director of the Corporation.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31" w:name="page32"/>
    <w:bookmarkEnd w:id="31"/>
    <w:p>
      <w:pPr>
        <w:ind w:right="220" w:firstLine="1297"/>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if any are appointed, of whom one or more may be designated an Executive Vice President or Senior Vice President, shall have such powers and shall perform such duties as shall be assigned to him or her by the Chief Executive Officer or the Board of Directors.</w:t>
      </w:r>
    </w:p>
    <w:p>
      <w:pPr>
        <w:spacing w:after="0" w:line="235"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if any is appointed,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w:t>
      </w:r>
    </w:p>
    <w:p>
      <w:pPr>
        <w:spacing w:after="0" w:line="20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In addition, the Treasurer shall have such further powers and perform such other duties incident to the office of Treasurer as from time to time are assigned to him or her by the Chief Executive Officer or the Board of Directors.</w:t>
      </w:r>
    </w:p>
    <w:p>
      <w:pPr>
        <w:spacing w:after="0" w:line="224"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spacing w:after="0" w:line="242"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Assistant Treasurers and Assistant Secretaries</w:t>
      </w:r>
      <w:r>
        <w:rPr>
          <w:rFonts w:ascii="Arial" w:cs="Arial" w:eastAsia="Arial" w:hAnsi="Arial"/>
          <w:sz w:val="16"/>
          <w:szCs w:val="16"/>
          <w:color w:val="auto"/>
        </w:rPr>
        <w:t>. Each Assistant Treasurer and each Assistant Secretary, if any are appointed,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spacing w:after="0" w:line="20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Corporate Funds and Checks</w:t>
      </w:r>
      <w:r>
        <w:rPr>
          <w:rFonts w:ascii="Arial" w:cs="Arial" w:eastAsia="Arial" w:hAnsi="Arial"/>
          <w:sz w:val="18"/>
          <w:szCs w:val="18"/>
          <w:color w:val="auto"/>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32" w:name="page33"/>
    <w:bookmarkEnd w:id="32"/>
    <w:p>
      <w:pPr>
        <w:ind w:right="180" w:firstLine="1297"/>
        <w:spacing w:after="0" w:line="259"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Contracts and Other Documents</w:t>
      </w:r>
      <w:r>
        <w:rPr>
          <w:rFonts w:ascii="Arial" w:cs="Arial" w:eastAsia="Arial" w:hAnsi="Arial"/>
          <w:sz w:val="18"/>
          <w:szCs w:val="18"/>
          <w:color w:val="auto"/>
        </w:rPr>
        <w:t>. The Chief Executive Officer and the Secretary, or such other officer or officers as may from time to time be authorized by the Board of Directors or any other committee given specific authority in the premises by the Board of Directors during the intervals between the meetings of the Board of Directors, shall have power to sign and execute on behalf of the Corporation deeds, conveyances and contracts, and any and all other documents requiring execution by the Corporation.</w:t>
      </w:r>
    </w:p>
    <w:p>
      <w:pPr>
        <w:spacing w:after="0" w:line="241"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Ownership of Stock of Another Corporation</w:t>
      </w:r>
      <w:r>
        <w:rPr>
          <w:rFonts w:ascii="Arial" w:cs="Arial" w:eastAsia="Arial" w:hAnsi="Arial"/>
          <w:sz w:val="17"/>
          <w:szCs w:val="17"/>
          <w:color w:val="auto"/>
        </w:rPr>
        <w:t>.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227"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In the absence, disability or refusal of any officer to exercise and perform his or her duties, the Board of Directors may delegate to another officer such powers or duties.</w:t>
      </w:r>
    </w:p>
    <w:p>
      <w:pPr>
        <w:spacing w:after="0" w:line="224"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of the Corporation may be removed from office for or without cause at any time by the Board of Directors. Any officer may resign at any time in the same manner prescribed under Section 3.03 of these Bylaws.</w:t>
      </w:r>
    </w:p>
    <w:p>
      <w:pPr>
        <w:spacing w:after="0" w:line="224" w:lineRule="exact"/>
        <w:rPr>
          <w:sz w:val="20"/>
          <w:szCs w:val="20"/>
          <w:color w:val="auto"/>
        </w:rPr>
      </w:pPr>
    </w:p>
    <w:p>
      <w:pPr>
        <w:ind w:left="1300"/>
        <w:spacing w:after="0"/>
        <w:tabs>
          <w:tab w:leader="none" w:pos="294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The Board of Directors shall have the power to fill vacancies occurring in any office.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w:t>
      </w:r>
    </w:p>
    <w:p>
      <w:pPr>
        <w:spacing w:after="0" w:line="283"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Shares With Certificates</w:t>
      </w:r>
      <w:r>
        <w:rPr>
          <w:rFonts w:ascii="Arial" w:cs="Arial" w:eastAsia="Arial" w:hAnsi="Arial"/>
          <w:sz w:val="16"/>
          <w:szCs w:val="16"/>
          <w:color w:val="auto"/>
        </w:rPr>
        <w:t xml:space="preserve">. The shares of stock of the Corporation shall be represented by certificates,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Chairman of the Board of Directors, the Vice Chairman of the Board of Directors, the Chief Executive Officer, the President, the Chief Financial Officer, a Vice President, the Treasurer, an Assistant Treasurer, the Secretary and an Assistant Secretary of the Corporation shall be an authorized officer for such purpose). Any or all of the signatures on the certificate may be a facsimile or other electronic signature.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221"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Shares Without Certificates</w:t>
      </w:r>
      <w:r>
        <w:rPr>
          <w:rFonts w:ascii="Arial" w:cs="Arial" w:eastAsia="Arial" w:hAnsi="Arial"/>
          <w:sz w:val="18"/>
          <w:szCs w:val="18"/>
          <w:color w:val="auto"/>
        </w:rPr>
        <w:t xml:space="preserve">. If the Board of Directors chooses to issue shares of stock without certificates, the Corporation, if required by the DGCL, shall, within a reasonable time after the issue or transfer of shares without certificates, send the stockholder a written statement of the information required by the DGCL. The Corporation may adopt a system of issuance, recordation and transfer of its shares of stock by electronic or other means not involving the issuance of certificates,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use of such system by the Corporation is permitted in accordance with applicable law.</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3" w:name="page34"/>
    <w:bookmarkEnd w:id="33"/>
    <w:p>
      <w:pPr>
        <w:ind w:firstLine="1297"/>
        <w:spacing w:after="0" w:line="270"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Shares of stock of the Corporation shall be transferable upon its books by the holders thereof, in person or by their duly authorized attorneys or legal representatives, in the manner prescribed by law, the Second Amended and Restated Certificate of Incorporation and in these Bylaws,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of Directors shall have power and authority to make such rules and regulations as it may deem necessary or proper concerning the issue, transfer and registration of certificates for shares of stock of the Corporation.</w:t>
      </w:r>
    </w:p>
    <w:p>
      <w:pPr>
        <w:spacing w:after="0" w:line="236"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Lost, Stolen, Destroyed or Mutilated Certificates</w:t>
      </w:r>
      <w:r>
        <w:rPr>
          <w:rFonts w:ascii="Arial" w:cs="Arial" w:eastAsia="Arial" w:hAnsi="Arial"/>
          <w:sz w:val="17"/>
          <w:szCs w:val="17"/>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232" w:lineRule="exact"/>
        <w:rPr>
          <w:sz w:val="20"/>
          <w:szCs w:val="20"/>
          <w:color w:val="auto"/>
        </w:rPr>
      </w:pPr>
    </w:p>
    <w:p>
      <w:pPr>
        <w:ind w:right="140" w:firstLine="1297"/>
        <w:spacing w:after="0" w:line="253"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Corporation shall prepare, at least ten (10)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record date for determining the stockholders entitled to vote is less than ten (10) days before the date of the meeting, the list shall reflect the stockholders entitled to vote as of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w:t>
      </w:r>
    </w:p>
    <w:p>
      <w:pPr>
        <w:spacing w:after="0" w:line="4"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meeting, or</w:t>
      </w:r>
    </w:p>
    <w:p>
      <w:pPr>
        <w:spacing w:after="0" w:line="32" w:lineRule="exact"/>
        <w:rPr>
          <w:rFonts w:ascii="Arial" w:cs="Arial" w:eastAsia="Arial" w:hAnsi="Arial"/>
          <w:sz w:val="16"/>
          <w:szCs w:val="16"/>
          <w:color w:val="auto"/>
        </w:rPr>
      </w:pPr>
    </w:p>
    <w:p>
      <w:pPr>
        <w:ind w:right="40" w:firstLine="8"/>
        <w:spacing w:after="0" w:line="268" w:lineRule="auto"/>
        <w:tabs>
          <w:tab w:leader="none" w:pos="2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5.05 or to vote in person or by proxy at any meeting of stockholders.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4" w:name="page35"/>
    <w:bookmarkEnd w:id="34"/>
    <w:p>
      <w:pPr>
        <w:ind w:left="1300"/>
        <w:spacing w:after="0"/>
        <w:tabs>
          <w:tab w:leader="none" w:pos="29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Fixing Date for Determination of Stockholders of Record.</w:t>
      </w:r>
    </w:p>
    <w:p>
      <w:pPr>
        <w:spacing w:after="0" w:line="279" w:lineRule="exact"/>
        <w:rPr>
          <w:sz w:val="20"/>
          <w:szCs w:val="20"/>
          <w:color w:val="auto"/>
        </w:rPr>
      </w:pPr>
    </w:p>
    <w:p>
      <w:pPr>
        <w:ind w:right="40" w:firstLine="1305"/>
        <w:spacing w:after="0" w:line="269" w:lineRule="auto"/>
        <w:tabs>
          <w:tab w:leader="none" w:pos="2087"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33" w:lineRule="exact"/>
        <w:rPr>
          <w:rFonts w:ascii="Arial" w:cs="Arial" w:eastAsia="Arial" w:hAnsi="Arial"/>
          <w:sz w:val="17"/>
          <w:szCs w:val="17"/>
          <w:color w:val="auto"/>
        </w:rPr>
      </w:pPr>
    </w:p>
    <w:p>
      <w:pPr>
        <w:ind w:right="80" w:firstLine="1305"/>
        <w:spacing w:after="0" w:line="297" w:lineRule="auto"/>
        <w:tabs>
          <w:tab w:leader="none" w:pos="207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212" w:lineRule="exact"/>
        <w:rPr>
          <w:rFonts w:ascii="Arial" w:cs="Arial" w:eastAsia="Arial" w:hAnsi="Arial"/>
          <w:sz w:val="16"/>
          <w:szCs w:val="16"/>
          <w:color w:val="auto"/>
        </w:rPr>
      </w:pPr>
    </w:p>
    <w:p>
      <w:pPr>
        <w:ind w:firstLine="1305"/>
        <w:spacing w:after="0" w:line="290" w:lineRule="auto"/>
        <w:tabs>
          <w:tab w:leader="none" w:pos="2077"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Unless otherwise restricted by the Second Amended and Restated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(a)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(b) if prior action by the Board of Directors is required by law, the record date for such purpose shall be at the close of business on the day on which the Board of Directors adopts the resolution taking such prior action.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5" w:name="page36"/>
    <w:bookmarkEnd w:id="35"/>
    <w:p>
      <w:pPr>
        <w:ind w:firstLine="1297"/>
        <w:spacing w:after="0" w:line="297"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and Waiver of Notice</w:t>
      </w:r>
    </w:p>
    <w:p>
      <w:pPr>
        <w:spacing w:after="0" w:line="283"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w:t>
      </w:r>
      <w:r>
        <w:rPr>
          <w:rFonts w:ascii="Arial" w:cs="Arial" w:eastAsia="Arial" w:hAnsi="Arial"/>
          <w:sz w:val="18"/>
          <w:szCs w:val="18"/>
          <w:color w:val="auto"/>
        </w:rPr>
        <w:t>. If mailed, notice to stockholders shall be deemed given when deposited in the United States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241" w:lineRule="exact"/>
        <w:rPr>
          <w:sz w:val="20"/>
          <w:szCs w:val="20"/>
          <w:color w:val="auto"/>
        </w:rPr>
      </w:pPr>
    </w:p>
    <w:p>
      <w:pPr>
        <w:ind w:right="160" w:firstLine="1297"/>
        <w:spacing w:after="0" w:line="276"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Waiver of Notice</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83"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provided in Section 7.03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6" w:name="page37"/>
    <w:bookmarkEnd w:id="36"/>
    <w:p>
      <w:pPr>
        <w:ind w:right="40" w:firstLine="1297"/>
        <w:spacing w:after="0" w:line="270"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Right to Advancement of Expenses</w:t>
      </w:r>
      <w:r>
        <w:rPr>
          <w:rFonts w:ascii="Arial" w:cs="Arial" w:eastAsia="Arial" w:hAnsi="Arial"/>
          <w:sz w:val="17"/>
          <w:szCs w:val="17"/>
          <w:color w:val="auto"/>
        </w:rPr>
        <w:t>. In addition to the right to indemnification conferred in Section 7.01,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Article VII (which shall be governed by Section 7.03 (hereinafter an “</w:t>
      </w:r>
      <w:r>
        <w:rPr>
          <w:rFonts w:ascii="Arial" w:cs="Arial" w:eastAsia="Arial" w:hAnsi="Arial"/>
          <w:sz w:val="17"/>
          <w:szCs w:val="17"/>
          <w:u w:val="single" w:color="auto"/>
          <w:color w:val="auto"/>
        </w:rPr>
        <w:t>advancement of expenses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DGCL requires or in the case of an advance made in a proceeding brought to establish or enforce a right to indemnification or advancement, an advancement of expenses incurred by an indemnitee in his or her capacity as a director or officer (and not in any other capacity in which service was or is rendered by such indemnitee, including, without limitation, service to an employee benefit plan) shall be made solely upon delivery to the Corporation of an undertaking (hereinafter an “</w:t>
      </w:r>
      <w:r>
        <w:rPr>
          <w:rFonts w:ascii="Arial" w:cs="Arial" w:eastAsia="Arial" w:hAnsi="Arial"/>
          <w:sz w:val="17"/>
          <w:szCs w:val="17"/>
          <w:u w:val="single" w:color="auto"/>
          <w:color w:val="auto"/>
        </w:rPr>
        <w:t>undertaking</w:t>
      </w:r>
      <w:r>
        <w:rPr>
          <w:rFonts w:ascii="Arial" w:cs="Arial" w:eastAsia="Arial" w:hAnsi="Arial"/>
          <w:sz w:val="17"/>
          <w:szCs w:val="17"/>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7"/>
          <w:szCs w:val="17"/>
          <w:u w:val="single" w:color="auto"/>
          <w:color w:val="auto"/>
        </w:rPr>
        <w:t>final adjudication</w:t>
      </w:r>
      <w:r>
        <w:rPr>
          <w:rFonts w:ascii="Arial" w:cs="Arial" w:eastAsia="Arial" w:hAnsi="Arial"/>
          <w:sz w:val="17"/>
          <w:szCs w:val="17"/>
          <w:color w:val="auto"/>
        </w:rPr>
        <w:t>”) that such indemnitee is not entitled to be indemnified or entitled to advancement of expenses under Sections 7.01 and 7.02 or otherwise.</w:t>
      </w:r>
    </w:p>
    <w:p>
      <w:pPr>
        <w:spacing w:after="0" w:line="232" w:lineRule="exact"/>
        <w:rPr>
          <w:sz w:val="20"/>
          <w:szCs w:val="20"/>
          <w:color w:val="auto"/>
        </w:rPr>
      </w:pPr>
    </w:p>
    <w:p>
      <w:pPr>
        <w:ind w:left="1300"/>
        <w:spacing w:after="0"/>
        <w:tabs>
          <w:tab w:leader="none" w:pos="294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 xml:space="preserve">Right of Indemnitee to Bring Suit. </w:t>
      </w:r>
      <w:r>
        <w:rPr>
          <w:rFonts w:ascii="Arial" w:cs="Arial" w:eastAsia="Arial" w:hAnsi="Arial"/>
          <w:sz w:val="16"/>
          <w:szCs w:val="16"/>
          <w:color w:val="auto"/>
        </w:rPr>
        <w:t>If a claim under Section 7.01 or 7.02 is not paid in full by the Corporation within</w:t>
      </w:r>
    </w:p>
    <w:p>
      <w:pPr>
        <w:spacing w:after="0" w:line="23" w:lineRule="exact"/>
        <w:rPr>
          <w:sz w:val="20"/>
          <w:szCs w:val="20"/>
          <w:color w:val="auto"/>
        </w:rPr>
      </w:pPr>
    </w:p>
    <w:p>
      <w:pPr>
        <w:ind w:firstLine="8"/>
        <w:spacing w:after="0" w:line="266" w:lineRule="auto"/>
        <w:tabs>
          <w:tab w:leader="none" w:pos="2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60 days after a written claim for indemnification has been received by the Corporation or (b)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7" w:name="page38"/>
    <w:bookmarkEnd w:id="37"/>
    <w:p>
      <w:pPr>
        <w:ind w:left="1300"/>
        <w:spacing w:after="0"/>
        <w:tabs>
          <w:tab w:leader="none" w:pos="294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Indemnification Not Exclusive</w:t>
      </w:r>
      <w:r>
        <w:rPr>
          <w:rFonts w:ascii="Arial" w:cs="Arial" w:eastAsia="Arial" w:hAnsi="Arial"/>
          <w:sz w:val="16"/>
          <w:szCs w:val="16"/>
          <w:color w:val="auto"/>
        </w:rPr>
        <w:t>.</w:t>
      </w:r>
    </w:p>
    <w:p>
      <w:pPr>
        <w:spacing w:after="0" w:line="279" w:lineRule="exact"/>
        <w:rPr>
          <w:sz w:val="20"/>
          <w:szCs w:val="20"/>
          <w:color w:val="auto"/>
        </w:rPr>
      </w:pPr>
    </w:p>
    <w:p>
      <w:pPr>
        <w:ind w:right="80" w:firstLine="1305"/>
        <w:spacing w:after="0" w:line="255" w:lineRule="auto"/>
        <w:tabs>
          <w:tab w:leader="none" w:pos="20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 of indemnification to or the advancement of expenses and costs to any indemnitee under this Article VII, or the entitlement of any indemnitee to indemnification or advancement of expenses and costs under this Article VII,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247" w:lineRule="exact"/>
        <w:rPr>
          <w:rFonts w:ascii="Arial" w:cs="Arial" w:eastAsia="Arial" w:hAnsi="Arial"/>
          <w:sz w:val="18"/>
          <w:szCs w:val="18"/>
          <w:color w:val="auto"/>
        </w:rPr>
      </w:pPr>
    </w:p>
    <w:p>
      <w:pPr>
        <w:ind w:firstLine="1305"/>
        <w:spacing w:after="0" w:line="285" w:lineRule="auto"/>
        <w:tabs>
          <w:tab w:leader="none" w:pos="2077" w:val="left"/>
        </w:tabs>
        <w:numPr>
          <w:ilvl w:val="0"/>
          <w:numId w:val="35"/>
        </w:numPr>
        <w:rPr>
          <w:rFonts w:ascii="Arial" w:cs="Arial" w:eastAsia="Arial" w:hAnsi="Arial"/>
          <w:sz w:val="16"/>
          <w:szCs w:val="16"/>
          <w:color w:val="auto"/>
        </w:rPr>
      </w:pPr>
      <w:r>
        <w:rPr>
          <w:rFonts w:ascii="Arial" w:cs="Arial" w:eastAsia="Arial" w:hAnsi="Arial"/>
          <w:sz w:val="16"/>
          <w:szCs w:val="16"/>
          <w:color w:val="auto"/>
        </w:rPr>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Second Amended and Restated Certificate of Incorporation or these Bylaws of the Corporation (or any other agreement between the Corporation and such persons, including the Stockholders Agreement, as applicable)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it may have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7.04(B) of Article VII, entitled to enforce this Section 7.04(B) of Article VII.</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8" w:name="page39"/>
    <w:bookmarkEnd w:id="38"/>
    <w:p>
      <w:pPr>
        <w:ind w:left="1300"/>
        <w:spacing w:after="0"/>
        <w:rPr>
          <w:sz w:val="20"/>
          <w:szCs w:val="20"/>
          <w:color w:val="auto"/>
        </w:rPr>
      </w:pPr>
      <w:r>
        <w:rPr>
          <w:rFonts w:ascii="Arial" w:cs="Arial" w:eastAsia="Arial" w:hAnsi="Arial"/>
          <w:sz w:val="18"/>
          <w:szCs w:val="18"/>
          <w:color w:val="auto"/>
        </w:rPr>
        <w:t>For purposes of this Section 7.04(B) of Article VII, the following terms shall have the following meanings:</w:t>
      </w:r>
    </w:p>
    <w:p>
      <w:pPr>
        <w:spacing w:after="0" w:line="252" w:lineRule="exact"/>
        <w:rPr>
          <w:sz w:val="20"/>
          <w:szCs w:val="20"/>
          <w:color w:val="auto"/>
        </w:rPr>
      </w:pPr>
    </w:p>
    <w:p>
      <w:pPr>
        <w:ind w:right="80" w:firstLine="656"/>
        <w:spacing w:after="0" w:line="297" w:lineRule="auto"/>
        <w:tabs>
          <w:tab w:leader="none" w:pos="90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185" w:lineRule="exact"/>
        <w:rPr>
          <w:rFonts w:ascii="Arial" w:cs="Arial" w:eastAsia="Arial" w:hAnsi="Arial"/>
          <w:sz w:val="16"/>
          <w:szCs w:val="16"/>
          <w:color w:val="auto"/>
        </w:rPr>
      </w:pPr>
    </w:p>
    <w:p>
      <w:pPr>
        <w:ind w:firstLine="656"/>
        <w:spacing w:after="0" w:line="279" w:lineRule="auto"/>
        <w:tabs>
          <w:tab w:leader="none" w:pos="90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jointly indemnifiable claims</w:t>
      </w:r>
      <w:r>
        <w:rPr>
          <w:rFonts w:ascii="Arial" w:cs="Arial" w:eastAsia="Arial" w:hAnsi="Arial"/>
          <w:sz w:val="17"/>
          <w:szCs w:val="17"/>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any agreement or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Corporate Obligations; Reliance</w:t>
      </w:r>
      <w:r>
        <w:rPr>
          <w:rFonts w:ascii="Arial" w:cs="Arial" w:eastAsia="Arial" w:hAnsi="Arial"/>
          <w:sz w:val="17"/>
          <w:szCs w:val="17"/>
          <w:color w:val="auto"/>
        </w:rPr>
        <w:t>. The rights granted pursuant to the provisions of this Article VII shall vest at the time a person becomes a director or officer of the Corporation and shall be deemed to create a binding contractual obligation on the part of the Corporation to the persons who from time to time are elected as officers or directors of the Corporation, and such persons in acting in their capacities as officers or directors of the Corporation or any subsidiary shall be entitled to rely on such provisions of this Article VII without giving notice thereof to the Corporation.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233"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39" w:name="page40"/>
    <w:bookmarkEnd w:id="39"/>
    <w:p>
      <w:pPr>
        <w:ind w:right="20" w:firstLine="1297"/>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Indemnification of Employees and Agents of the Corporation</w:t>
      </w:r>
      <w:r>
        <w:rPr>
          <w:rFonts w:ascii="Arial" w:cs="Arial" w:eastAsia="Arial" w:hAnsi="Arial"/>
          <w:sz w:val="18"/>
          <w:szCs w:val="18"/>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83"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For purposes of these Bylaws,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35"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23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the Saturday closest to December 31 of each year, or such other day as the Board of Directors may designate.</w:t>
      </w:r>
    </w:p>
    <w:p>
      <w:pPr>
        <w:spacing w:after="0" w:line="22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Section Headings</w:t>
      </w:r>
      <w:r>
        <w:rPr>
          <w:rFonts w:ascii="Arial" w:cs="Arial" w:eastAsia="Arial" w:hAnsi="Arial"/>
          <w:sz w:val="18"/>
          <w:szCs w:val="18"/>
          <w:color w:val="auto"/>
        </w:rPr>
        <w:t>. Section headings in these Bylaws are for convenience of reference only and shall not be given any substantive effect in limiting or otherwise construing any provision herein.</w:t>
      </w:r>
    </w:p>
    <w:p>
      <w:pPr>
        <w:spacing w:after="0" w:line="224"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Inconsistent Provisions</w:t>
      </w:r>
      <w:r>
        <w:rPr>
          <w:rFonts w:ascii="Arial" w:cs="Arial" w:eastAsia="Arial" w:hAnsi="Arial"/>
          <w:sz w:val="18"/>
          <w:szCs w:val="18"/>
          <w:color w:val="auto"/>
        </w:rPr>
        <w:t>. In the event that any provision of these Bylaws is or becomes inconsistent with any provision of the Second Amended and Restated Certificate of Incorporation, the DGCL or any other applicable law, such provision of these Bylaws shall not be given any effect to the extent of such inconsistency but shall otherwise be given full force and effect.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83"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Amendments</w:t>
      </w:r>
      <w:r>
        <w:rPr>
          <w:rFonts w:ascii="Arial" w:cs="Arial" w:eastAsia="Arial" w:hAnsi="Arial"/>
          <w:sz w:val="16"/>
          <w:szCs w:val="16"/>
          <w:color w:val="auto"/>
        </w:rPr>
        <w:t>. The Board of Directors is authorized to make, repeal, alter, amend and rescind, in whole or in part, these Bylaws without the assent or vote of the stockholders in any manner not inconsistent with the laws of the State of Delaware or the Second Amended and Restated Certificate of Incorporation. For so long as KKR and Berkshire beneficially own collectively, in the aggregate, at least 40% in voting power of the stock of the Corporation entitled to vote generally in the election of directors, in addition to any vote of the holders of any class or series of capital stock of the Corporation required by the Second Amended and Restated Certificate of Incorporation (including any certificate of designation relating to any series of Preferred Stock (as defined in the Second Amended and Restated Certificate of Incorporation)), by these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Bylaws or to adopt any provision inconsistent therewith. Notwithstanding any other provisions of these Bylaws or any provision of law that might otherwise permit a lesser vote of the stockholders, at any time when KKR and Berkshire beneficially own collectively, in the aggregate, less than 40% in voting power of the stock of the Corporation entitled to vote generally in the election of directors, in addition to any vote of the holders of any class or series of capital stock of the Corporation required by the Second Amended and Restated Certificate of Incorporation (including any certificate of designation relating to any series of Preferred Stock (as defined in the Second Amended and Restated Certificate of Incorporation)), these Bylaws or applicable law, the affirmative vote of the holders of at least 66⅔%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Bylaws (including, without limitation, this Section 9.01) or to adopt any provision inconsistent herewith.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394970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AMENDED AND RESTATED STOCKHOLDERS’ AGREEMENT</w:t>
      </w: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NATIONAL VISION HOLDINGS,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October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1003935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83"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74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820" w:type="dxa"/>
            <w:vAlign w:val="bottom"/>
            <w:gridSpan w:val="2"/>
          </w:tcPr>
          <w:p>
            <w:pPr>
              <w:ind w:left="19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Article I Definitions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SECTION 1.1. Definitions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40"/>
              <w:spacing w:after="0"/>
              <w:rPr>
                <w:sz w:val="20"/>
                <w:szCs w:val="20"/>
                <w:color w:val="auto"/>
              </w:rPr>
            </w:pPr>
            <w:r>
              <w:rPr>
                <w:rFonts w:ascii="Arial" w:cs="Arial" w:eastAsia="Arial" w:hAnsi="Arial"/>
                <w:sz w:val="18"/>
                <w:szCs w:val="18"/>
                <w:color w:val="auto"/>
              </w:rPr>
              <w:t>SECTION 1.2. Construction</w:t>
            </w:r>
          </w:p>
        </w:tc>
        <w:tc>
          <w:tcPr>
            <w:tcW w:w="28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40"/>
              <w:spacing w:after="0"/>
              <w:rPr>
                <w:sz w:val="20"/>
                <w:szCs w:val="20"/>
                <w:color w:val="auto"/>
              </w:rPr>
            </w:pPr>
            <w:r>
              <w:rPr>
                <w:rFonts w:ascii="Arial" w:cs="Arial" w:eastAsia="Arial" w:hAnsi="Arial"/>
                <w:sz w:val="18"/>
                <w:szCs w:val="18"/>
                <w:color w:val="auto"/>
              </w:rPr>
              <w:t>Article II Corporate Governance</w:t>
            </w:r>
          </w:p>
        </w:tc>
        <w:tc>
          <w:tcPr>
            <w:tcW w:w="28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40"/>
              <w:spacing w:after="0"/>
              <w:rPr>
                <w:sz w:val="20"/>
                <w:szCs w:val="20"/>
                <w:color w:val="auto"/>
              </w:rPr>
            </w:pPr>
            <w:r>
              <w:rPr>
                <w:rFonts w:ascii="Arial" w:cs="Arial" w:eastAsia="Arial" w:hAnsi="Arial"/>
                <w:sz w:val="18"/>
                <w:szCs w:val="18"/>
                <w:color w:val="auto"/>
              </w:rPr>
              <w:t>SECTION 2.1. Board of Directors</w:t>
            </w:r>
          </w:p>
        </w:tc>
        <w:tc>
          <w:tcPr>
            <w:tcW w:w="28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SECTION 2.2. Committees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40"/>
              <w:spacing w:after="0"/>
              <w:rPr>
                <w:sz w:val="20"/>
                <w:szCs w:val="20"/>
                <w:color w:val="auto"/>
              </w:rPr>
            </w:pPr>
            <w:r>
              <w:rPr>
                <w:rFonts w:ascii="Arial" w:cs="Arial" w:eastAsia="Arial" w:hAnsi="Arial"/>
                <w:sz w:val="18"/>
                <w:szCs w:val="18"/>
                <w:color w:val="auto"/>
              </w:rPr>
              <w:t>SECTION 2.3. Consent Rights</w:t>
            </w:r>
          </w:p>
        </w:tc>
        <w:tc>
          <w:tcPr>
            <w:tcW w:w="28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SECTION 2.4. Controlled Company.</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40"/>
              <w:spacing w:after="0"/>
              <w:rPr>
                <w:sz w:val="20"/>
                <w:szCs w:val="20"/>
                <w:color w:val="auto"/>
              </w:rPr>
            </w:pPr>
            <w:r>
              <w:rPr>
                <w:rFonts w:ascii="Arial" w:cs="Arial" w:eastAsia="Arial" w:hAnsi="Arial"/>
                <w:sz w:val="18"/>
                <w:szCs w:val="18"/>
                <w:color w:val="auto"/>
              </w:rPr>
              <w:t>SECTION 2.5. Permitted Disclosure</w:t>
            </w:r>
          </w:p>
        </w:tc>
        <w:tc>
          <w:tcPr>
            <w:tcW w:w="28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40"/>
              <w:spacing w:after="0"/>
              <w:rPr>
                <w:sz w:val="20"/>
                <w:szCs w:val="20"/>
                <w:color w:val="auto"/>
              </w:rPr>
            </w:pPr>
            <w:r>
              <w:rPr>
                <w:rFonts w:ascii="Arial" w:cs="Arial" w:eastAsia="Arial" w:hAnsi="Arial"/>
                <w:sz w:val="18"/>
                <w:szCs w:val="18"/>
                <w:color w:val="auto"/>
              </w:rPr>
              <w:t>Article III Information</w:t>
            </w:r>
          </w:p>
        </w:tc>
        <w:tc>
          <w:tcPr>
            <w:tcW w:w="28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40"/>
              <w:spacing w:after="0"/>
              <w:rPr>
                <w:sz w:val="20"/>
                <w:szCs w:val="20"/>
                <w:color w:val="auto"/>
              </w:rPr>
            </w:pPr>
            <w:r>
              <w:rPr>
                <w:rFonts w:ascii="Arial" w:cs="Arial" w:eastAsia="Arial" w:hAnsi="Arial"/>
                <w:sz w:val="18"/>
                <w:szCs w:val="18"/>
                <w:color w:val="auto"/>
              </w:rPr>
              <w:t>SECTION 3.1. Books and Records; Access; Certain Reports</w:t>
            </w:r>
          </w:p>
        </w:tc>
        <w:tc>
          <w:tcPr>
            <w:tcW w:w="28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40"/>
              <w:spacing w:after="0"/>
              <w:rPr>
                <w:sz w:val="20"/>
                <w:szCs w:val="20"/>
                <w:color w:val="auto"/>
              </w:rPr>
            </w:pPr>
            <w:r>
              <w:rPr>
                <w:rFonts w:ascii="Arial" w:cs="Arial" w:eastAsia="Arial" w:hAnsi="Arial"/>
                <w:sz w:val="18"/>
                <w:szCs w:val="18"/>
                <w:color w:val="auto"/>
              </w:rPr>
              <w:t>Article IV Miscellaneous</w:t>
            </w:r>
          </w:p>
        </w:tc>
        <w:tc>
          <w:tcPr>
            <w:tcW w:w="2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40"/>
              <w:spacing w:after="0"/>
              <w:rPr>
                <w:sz w:val="20"/>
                <w:szCs w:val="20"/>
                <w:color w:val="auto"/>
              </w:rPr>
            </w:pPr>
            <w:r>
              <w:rPr>
                <w:rFonts w:ascii="Arial" w:cs="Arial" w:eastAsia="Arial" w:hAnsi="Arial"/>
                <w:sz w:val="18"/>
                <w:szCs w:val="18"/>
                <w:color w:val="auto"/>
              </w:rPr>
              <w:t>SECTION 4.1. Termination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SECTION 4.2. Indemnification.</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40"/>
              <w:spacing w:after="0"/>
              <w:rPr>
                <w:sz w:val="20"/>
                <w:szCs w:val="20"/>
                <w:color w:val="auto"/>
              </w:rPr>
            </w:pPr>
            <w:r>
              <w:rPr>
                <w:rFonts w:ascii="Arial" w:cs="Arial" w:eastAsia="Arial" w:hAnsi="Arial"/>
                <w:sz w:val="18"/>
                <w:szCs w:val="18"/>
                <w:color w:val="auto"/>
              </w:rPr>
              <w:t>SECTION 4.3. Amendments and Waivers</w:t>
            </w:r>
          </w:p>
        </w:tc>
        <w:tc>
          <w:tcPr>
            <w:tcW w:w="28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SECTION 4.4. Successors, Assigns and Transferees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40"/>
              <w:spacing w:after="0"/>
              <w:rPr>
                <w:sz w:val="20"/>
                <w:szCs w:val="20"/>
                <w:color w:val="auto"/>
              </w:rPr>
            </w:pPr>
            <w:r>
              <w:rPr>
                <w:rFonts w:ascii="Arial" w:cs="Arial" w:eastAsia="Arial" w:hAnsi="Arial"/>
                <w:sz w:val="18"/>
                <w:szCs w:val="18"/>
                <w:color w:val="auto"/>
              </w:rPr>
              <w:t>SECTION 4.5. Third Parties</w:t>
            </w:r>
          </w:p>
        </w:tc>
        <w:tc>
          <w:tcPr>
            <w:tcW w:w="28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SECTION 4.6. Notices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40"/>
              <w:spacing w:after="0"/>
              <w:rPr>
                <w:sz w:val="20"/>
                <w:szCs w:val="20"/>
                <w:color w:val="auto"/>
              </w:rPr>
            </w:pPr>
            <w:r>
              <w:rPr>
                <w:rFonts w:ascii="Arial" w:cs="Arial" w:eastAsia="Arial" w:hAnsi="Arial"/>
                <w:sz w:val="18"/>
                <w:szCs w:val="18"/>
                <w:color w:val="auto"/>
              </w:rPr>
              <w:t>SECTION 4.7. Further Assurances</w:t>
            </w:r>
          </w:p>
        </w:tc>
        <w:tc>
          <w:tcPr>
            <w:tcW w:w="28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SECTION 4.8. Entire Agreement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240"/>
              <w:spacing w:after="0"/>
              <w:rPr>
                <w:sz w:val="20"/>
                <w:szCs w:val="20"/>
                <w:color w:val="auto"/>
              </w:rPr>
            </w:pPr>
            <w:r>
              <w:rPr>
                <w:rFonts w:ascii="Arial" w:cs="Arial" w:eastAsia="Arial" w:hAnsi="Arial"/>
                <w:sz w:val="18"/>
                <w:szCs w:val="18"/>
                <w:color w:val="auto"/>
              </w:rPr>
              <w:t>SECTION 4.9. Restrictions on Other Agreements; Bylaws.</w:t>
            </w:r>
          </w:p>
        </w:tc>
        <w:tc>
          <w:tcPr>
            <w:tcW w:w="28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SECTION</w:t>
            </w:r>
          </w:p>
        </w:tc>
        <w:tc>
          <w:tcPr>
            <w:tcW w:w="7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Delays or Omissions</w:t>
            </w:r>
          </w:p>
        </w:tc>
        <w:tc>
          <w:tcPr>
            <w:tcW w:w="2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4.10.</w:t>
            </w:r>
          </w:p>
        </w:tc>
        <w:tc>
          <w:tcPr>
            <w:tcW w:w="74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240"/>
              <w:spacing w:after="0" w:line="201" w:lineRule="exact"/>
              <w:rPr>
                <w:sz w:val="20"/>
                <w:szCs w:val="20"/>
                <w:color w:val="auto"/>
              </w:rPr>
            </w:pPr>
            <w:r>
              <w:rPr>
                <w:rFonts w:ascii="Arial" w:cs="Arial" w:eastAsia="Arial" w:hAnsi="Arial"/>
                <w:sz w:val="18"/>
                <w:szCs w:val="18"/>
                <w:color w:val="auto"/>
              </w:rPr>
              <w:t>SECTION</w:t>
            </w:r>
          </w:p>
        </w:tc>
        <w:tc>
          <w:tcPr>
            <w:tcW w:w="7440" w:type="dxa"/>
            <w:vAlign w:val="bottom"/>
          </w:tcPr>
          <w:p>
            <w:pPr>
              <w:ind w:left="200"/>
              <w:spacing w:after="0" w:line="201" w:lineRule="exact"/>
              <w:rPr>
                <w:sz w:val="20"/>
                <w:szCs w:val="20"/>
                <w:color w:val="auto"/>
              </w:rPr>
            </w:pPr>
            <w:r>
              <w:rPr>
                <w:rFonts w:ascii="Arial" w:cs="Arial" w:eastAsia="Arial" w:hAnsi="Arial"/>
                <w:sz w:val="18"/>
                <w:szCs w:val="18"/>
                <w:color w:val="auto"/>
              </w:rPr>
              <w:t>Governing Law; Jurisdiction; Waiver of Jury Trial</w:t>
            </w:r>
          </w:p>
        </w:tc>
        <w:tc>
          <w:tcPr>
            <w:tcW w:w="2800" w:type="dxa"/>
            <w:vAlign w:val="bottom"/>
          </w:tcPr>
          <w:p>
            <w:pPr>
              <w:jc w:val="right"/>
              <w:spacing w:after="0" w:line="201"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40"/>
              <w:spacing w:after="0"/>
              <w:rPr>
                <w:sz w:val="20"/>
                <w:szCs w:val="20"/>
                <w:color w:val="auto"/>
              </w:rPr>
            </w:pPr>
            <w:r>
              <w:rPr>
                <w:rFonts w:ascii="Arial" w:cs="Arial" w:eastAsia="Arial" w:hAnsi="Arial"/>
                <w:sz w:val="18"/>
                <w:szCs w:val="18"/>
                <w:color w:val="auto"/>
              </w:rPr>
              <w:t>4.11.</w:t>
            </w:r>
          </w:p>
        </w:tc>
        <w:tc>
          <w:tcPr>
            <w:tcW w:w="7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SECTION</w:t>
            </w:r>
          </w:p>
        </w:tc>
        <w:tc>
          <w:tcPr>
            <w:tcW w:w="7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Severability</w:t>
            </w:r>
          </w:p>
        </w:tc>
        <w:tc>
          <w:tcPr>
            <w:tcW w:w="2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4.12.</w:t>
            </w:r>
          </w:p>
        </w:tc>
        <w:tc>
          <w:tcPr>
            <w:tcW w:w="74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240"/>
              <w:spacing w:after="0" w:line="201" w:lineRule="exact"/>
              <w:rPr>
                <w:sz w:val="20"/>
                <w:szCs w:val="20"/>
                <w:color w:val="auto"/>
              </w:rPr>
            </w:pPr>
            <w:r>
              <w:rPr>
                <w:rFonts w:ascii="Arial" w:cs="Arial" w:eastAsia="Arial" w:hAnsi="Arial"/>
                <w:sz w:val="18"/>
                <w:szCs w:val="18"/>
                <w:color w:val="auto"/>
              </w:rPr>
              <w:t>SECTION</w:t>
            </w:r>
          </w:p>
        </w:tc>
        <w:tc>
          <w:tcPr>
            <w:tcW w:w="7440" w:type="dxa"/>
            <w:vAlign w:val="bottom"/>
          </w:tcPr>
          <w:p>
            <w:pPr>
              <w:ind w:left="200"/>
              <w:spacing w:after="0" w:line="201" w:lineRule="exact"/>
              <w:rPr>
                <w:sz w:val="20"/>
                <w:szCs w:val="20"/>
                <w:color w:val="auto"/>
              </w:rPr>
            </w:pPr>
            <w:r>
              <w:rPr>
                <w:rFonts w:ascii="Arial" w:cs="Arial" w:eastAsia="Arial" w:hAnsi="Arial"/>
                <w:sz w:val="18"/>
                <w:szCs w:val="18"/>
                <w:color w:val="auto"/>
              </w:rPr>
              <w:t>Enforcement</w:t>
            </w:r>
          </w:p>
        </w:tc>
        <w:tc>
          <w:tcPr>
            <w:tcW w:w="2800" w:type="dxa"/>
            <w:vAlign w:val="bottom"/>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40"/>
              <w:spacing w:after="0"/>
              <w:rPr>
                <w:sz w:val="20"/>
                <w:szCs w:val="20"/>
                <w:color w:val="auto"/>
              </w:rPr>
            </w:pPr>
            <w:r>
              <w:rPr>
                <w:rFonts w:ascii="Arial" w:cs="Arial" w:eastAsia="Arial" w:hAnsi="Arial"/>
                <w:sz w:val="18"/>
                <w:szCs w:val="18"/>
                <w:color w:val="auto"/>
              </w:rPr>
              <w:t>4.13.</w:t>
            </w:r>
          </w:p>
        </w:tc>
        <w:tc>
          <w:tcPr>
            <w:tcW w:w="7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SECTION</w:t>
            </w:r>
          </w:p>
        </w:tc>
        <w:tc>
          <w:tcPr>
            <w:tcW w:w="7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Titles and Subtitles</w:t>
            </w:r>
          </w:p>
        </w:tc>
        <w:tc>
          <w:tcPr>
            <w:tcW w:w="2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4.14.</w:t>
            </w:r>
          </w:p>
        </w:tc>
        <w:tc>
          <w:tcPr>
            <w:tcW w:w="74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240"/>
              <w:spacing w:after="0" w:line="201" w:lineRule="exact"/>
              <w:rPr>
                <w:sz w:val="20"/>
                <w:szCs w:val="20"/>
                <w:color w:val="auto"/>
              </w:rPr>
            </w:pPr>
            <w:r>
              <w:rPr>
                <w:rFonts w:ascii="Arial" w:cs="Arial" w:eastAsia="Arial" w:hAnsi="Arial"/>
                <w:sz w:val="18"/>
                <w:szCs w:val="18"/>
                <w:color w:val="auto"/>
              </w:rPr>
              <w:t>SECTION</w:t>
            </w:r>
          </w:p>
        </w:tc>
        <w:tc>
          <w:tcPr>
            <w:tcW w:w="7440" w:type="dxa"/>
            <w:vAlign w:val="bottom"/>
          </w:tcPr>
          <w:p>
            <w:pPr>
              <w:ind w:left="200"/>
              <w:spacing w:after="0" w:line="201" w:lineRule="exact"/>
              <w:rPr>
                <w:sz w:val="20"/>
                <w:szCs w:val="20"/>
                <w:color w:val="auto"/>
              </w:rPr>
            </w:pPr>
            <w:r>
              <w:rPr>
                <w:rFonts w:ascii="Arial" w:cs="Arial" w:eastAsia="Arial" w:hAnsi="Arial"/>
                <w:sz w:val="18"/>
                <w:szCs w:val="18"/>
                <w:color w:val="auto"/>
              </w:rPr>
              <w:t>No Recourse</w:t>
            </w:r>
          </w:p>
        </w:tc>
        <w:tc>
          <w:tcPr>
            <w:tcW w:w="2800" w:type="dxa"/>
            <w:vAlign w:val="bottom"/>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40"/>
              <w:spacing w:after="0"/>
              <w:rPr>
                <w:sz w:val="20"/>
                <w:szCs w:val="20"/>
                <w:color w:val="auto"/>
              </w:rPr>
            </w:pPr>
            <w:r>
              <w:rPr>
                <w:rFonts w:ascii="Arial" w:cs="Arial" w:eastAsia="Arial" w:hAnsi="Arial"/>
                <w:sz w:val="18"/>
                <w:szCs w:val="18"/>
                <w:color w:val="auto"/>
              </w:rPr>
              <w:t>4.15.</w:t>
            </w:r>
          </w:p>
        </w:tc>
        <w:tc>
          <w:tcPr>
            <w:tcW w:w="7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SECTION</w:t>
            </w:r>
          </w:p>
        </w:tc>
        <w:tc>
          <w:tcPr>
            <w:tcW w:w="74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Counterparts; Facsimile Signatures</w:t>
            </w:r>
          </w:p>
        </w:tc>
        <w:tc>
          <w:tcPr>
            <w:tcW w:w="2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4.16.</w:t>
            </w:r>
          </w:p>
        </w:tc>
        <w:tc>
          <w:tcPr>
            <w:tcW w:w="74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240"/>
              <w:spacing w:after="0" w:line="201" w:lineRule="exact"/>
              <w:rPr>
                <w:sz w:val="20"/>
                <w:szCs w:val="20"/>
                <w:color w:val="auto"/>
              </w:rPr>
            </w:pPr>
            <w:r>
              <w:rPr>
                <w:rFonts w:ascii="Arial" w:cs="Arial" w:eastAsia="Arial" w:hAnsi="Arial"/>
                <w:sz w:val="18"/>
                <w:szCs w:val="18"/>
                <w:color w:val="auto"/>
              </w:rPr>
              <w:t>SECTION</w:t>
            </w:r>
          </w:p>
        </w:tc>
        <w:tc>
          <w:tcPr>
            <w:tcW w:w="7440" w:type="dxa"/>
            <w:vAlign w:val="bottom"/>
          </w:tcPr>
          <w:p>
            <w:pPr>
              <w:ind w:left="200"/>
              <w:spacing w:after="0" w:line="201" w:lineRule="exact"/>
              <w:rPr>
                <w:sz w:val="20"/>
                <w:szCs w:val="20"/>
                <w:color w:val="auto"/>
              </w:rPr>
            </w:pPr>
            <w:r>
              <w:rPr>
                <w:rFonts w:ascii="Arial" w:cs="Arial" w:eastAsia="Arial" w:hAnsi="Arial"/>
                <w:sz w:val="18"/>
                <w:szCs w:val="18"/>
                <w:color w:val="auto"/>
              </w:rPr>
              <w:t>Effectiveness</w:t>
            </w:r>
          </w:p>
        </w:tc>
        <w:tc>
          <w:tcPr>
            <w:tcW w:w="2800" w:type="dxa"/>
            <w:vAlign w:val="bottom"/>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40"/>
              <w:spacing w:after="0"/>
              <w:rPr>
                <w:sz w:val="20"/>
                <w:szCs w:val="20"/>
                <w:color w:val="auto"/>
              </w:rPr>
            </w:pPr>
            <w:r>
              <w:rPr>
                <w:rFonts w:ascii="Arial" w:cs="Arial" w:eastAsia="Arial" w:hAnsi="Arial"/>
                <w:sz w:val="18"/>
                <w:szCs w:val="18"/>
                <w:color w:val="auto"/>
              </w:rPr>
              <w:t>4.17.</w:t>
            </w:r>
          </w:p>
        </w:tc>
        <w:tc>
          <w:tcPr>
            <w:tcW w:w="7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A — Assignment and Assumption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AMENDED AND RESTATED STOCKHOLDERS’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AMENDED AND RESTATED STOCKHOLDERS’ AGREEMENT (as the same may be amended from time to time in accordance with its terms,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October 30, 2017, by and among National Vision Holdings, Inc. (formerly known as Nautilus Parent,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of the stockholders of the Company whose name appears on the signature pages hereto (each, a “</w:t>
      </w:r>
      <w:r>
        <w:rPr>
          <w:rFonts w:ascii="Arial" w:cs="Arial" w:eastAsia="Arial" w:hAnsi="Arial"/>
          <w:sz w:val="18"/>
          <w:szCs w:val="18"/>
          <w:u w:val="single" w:color="auto"/>
          <w:color w:val="auto"/>
        </w:rPr>
        <w:t>Stockholder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on March 13, 2014, the Company and the Investors (as defined below) entered into that certain Stockholders Agreement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 is currently contemplating an underwritten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of shares of its Common Stock; and</w:t>
      </w:r>
    </w:p>
    <w:p>
      <w:pPr>
        <w:spacing w:after="0" w:line="2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in connection with, and effective upon, the date of completion of the IPO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parties hereto desire to amend and restate the Original Agreement in its entirety and enter into this Agreement to govern certain of their rights, duties and obligations with respect to their ownership of Common Stock after consummation of the IPO.</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6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shall have the following meanings:</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mean, (i) with respect to any Person (other than an Investor), an “affiliate” as defined in Rule 405 of the regulations promulgated under the Securities Act, and (ii) with respect to an Investor, an “affiliate” as defined in Rule 405 of the regulations promulgated under the Securities Act and any investment fund, vehicle or holding company of which such Investor or an Affiliate of such Investor serves as the general partner, managing member or discretionary manager or advisor;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(x) except as used in </w:t>
      </w:r>
      <w:r>
        <w:rPr>
          <w:rFonts w:ascii="Arial" w:cs="Arial" w:eastAsia="Arial" w:hAnsi="Arial"/>
          <w:sz w:val="18"/>
          <w:szCs w:val="18"/>
          <w:u w:val="single" w:color="auto"/>
          <w:color w:val="auto"/>
        </w:rPr>
        <w:t>Section 4.2</w:t>
      </w:r>
      <w:r>
        <w:rPr>
          <w:rFonts w:ascii="Arial" w:cs="Arial" w:eastAsia="Arial" w:hAnsi="Arial"/>
          <w:sz w:val="18"/>
          <w:szCs w:val="18"/>
          <w:color w:val="auto"/>
        </w:rPr>
        <w:t>, an Affiliate of an Investor shall not include any Portfolio Company or other investment of any Person or such Investor or any investment fund, vehicle or holding company or any investment fund, vehicle or holding company or any limited partners of such Investor and (y) an Investor or any of its Affiliates shall not be considered an Affiliate of the other Investor.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or “</w:t>
      </w:r>
      <w:r>
        <w:rPr>
          <w:rFonts w:ascii="Arial" w:cs="Arial" w:eastAsia="Arial" w:hAnsi="Arial"/>
          <w:sz w:val="18"/>
          <w:szCs w:val="18"/>
          <w:u w:val="single" w:color="auto"/>
          <w:color w:val="auto"/>
        </w:rPr>
        <w:t>beneficially own</w:t>
      </w:r>
      <w:r>
        <w:rPr>
          <w:rFonts w:ascii="Arial" w:cs="Arial" w:eastAsia="Arial" w:hAnsi="Arial"/>
          <w:sz w:val="18"/>
          <w:szCs w:val="18"/>
          <w:color w:val="auto"/>
        </w:rPr>
        <w:t xml:space="preserve">” shall have the meaning set forth in Rule 13d-3 under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Stockholder shall be deemed to beneficially own any securities of the Company held by any other Stockholder solely by virtue of the provisions of this Agreement (other than this definition which shall be deemed to be read for this purpose without the proviso hereto).</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Berkshire Designee</w:t>
      </w:r>
      <w:r>
        <w:rPr>
          <w:rFonts w:ascii="Arial" w:cs="Arial" w:eastAsia="Arial" w:hAnsi="Arial"/>
          <w:sz w:val="17"/>
          <w:szCs w:val="17"/>
          <w:color w:val="auto"/>
        </w:rPr>
        <w:t xml:space="preserve">” shall mean the Director designated by the Berkshire Investors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of this Agreement.</w:t>
      </w:r>
    </w:p>
    <w:p>
      <w:pPr>
        <w:spacing w:after="0" w:line="26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Berkshire Investor</w:t>
      </w:r>
      <w:r>
        <w:rPr>
          <w:rFonts w:ascii="Arial" w:cs="Arial" w:eastAsia="Arial" w:hAnsi="Arial"/>
          <w:sz w:val="18"/>
          <w:szCs w:val="18"/>
          <w:color w:val="auto"/>
        </w:rPr>
        <w:t>” shall mean Berkshire Fund VI, Limited Partnership, Berkshire Investors LLC, and Berkshire Investors III LLC, and their Permitted Transferees.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that is not a Saturday, a Sunday or other day on which banks are required or authorized by Law to be closed in the City of New York.</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shall mean the Second Amended and Restated Bylaws of the Company, as in effect on the date hereof and as the same may be amended, supplemented or otherwise modified from time to time in accordance with the terms thereof, the terms of the Charter and the terms of this Agreement.</w:t>
      </w:r>
    </w:p>
    <w:p>
      <w:pPr>
        <w:spacing w:after="0" w:line="20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any transaction or series of related transactions (whether by merger, consolidation, recapitalization, liquidation or sale or transfer of Common Stock or assets (including equity securities of the Subsidiaries) or otherwise) as a result of which any Person or group, within the meaning of Section 13(d)(3) of the Exchange Act (other than (x) the Investors and their respective Affiliates, any group of which the foregoing are members and any other members of such a group and (y) an employee benefit plan (or trust forming a part thereof) maintained by the Company or its controlled Affiliates), obtains ownership, directly or indirectly, of (i) Common Stock that represent more than 50% of the total voting power of the outstanding capital stock of the Company or applicable successor entity or (ii) all or substantially all of the assets of the Company and its Subsidiaries on a consolidated basis. For purposes of this definition, the term “Affiliates” shall include Portfolio Companies.</w:t>
      </w:r>
    </w:p>
    <w:p>
      <w:pPr>
        <w:spacing w:after="0" w:line="20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shall mean the Second Amended and Restated Certificate of Incorporation of the Company, as in effect on the date hereof and as the same may be amended, supplemented or otherwise modified from time to time in accordance with the terms thereof and the terms of this Agreement.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the Recitals.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with respect to the relationship between or among two or more Persons, shall mean the possession, directly or indirectly, of the power to direct or cause the direction of the affairs or management of a Person, whether through the ownership of voting securities, as trustee or executor, by contract or otherwise.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any member of the Board.</w:t>
      </w:r>
    </w:p>
    <w:p>
      <w:pPr>
        <w:spacing w:after="0" w:line="25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Securities</w:t>
      </w:r>
      <w:r>
        <w:rPr>
          <w:rFonts w:ascii="Arial" w:cs="Arial" w:eastAsia="Arial" w:hAnsi="Arial"/>
          <w:sz w:val="16"/>
          <w:szCs w:val="16"/>
          <w:color w:val="auto"/>
        </w:rPr>
        <w:t>” shall mean any and all shares of (i) Common Stock, (ii) preferred stock of the Company, and (iii) any equity securities (including, without limitation, preferred stock) of the Company convertible into, or exchangeable or exercisable for, any of the foregoing shares, and options, warrants or other rights to acquire any of the foregoing shares or other securities. In the event any direct or indirect Subsidiary of the Company issues directly to any Stockholder any common stock of such Subsidiary or any equity securities of the type described in clauses (ii) and (iii), the term “Equity Securities” shall also include the common stock and equity securities of the type described in clauses (ii) and (iii) of such Subsidiary.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 from time to time, and the rules and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pursuant thereto.</w:t>
      </w:r>
    </w:p>
    <w:p>
      <w:pPr>
        <w:spacing w:after="0" w:line="23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214"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Indemnification Agreement</w:t>
      </w:r>
      <w:r>
        <w:rPr>
          <w:rFonts w:ascii="Arial" w:cs="Arial" w:eastAsia="Arial" w:hAnsi="Arial"/>
          <w:sz w:val="16"/>
          <w:szCs w:val="16"/>
          <w:color w:val="auto"/>
        </w:rPr>
        <w:t>” shall mean the Indemnification Agreement, dated as of March 13, 2014, by and among the Sponsor Entities, the Company and Nautilus Acquisition Holdings, Inc. and National Vision, Inc., as the same may be amended from time to time in accordance with its terms.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shall mean the Berkshire Investor and the KKR Investor.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have the meaning set forth in the Recitals.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KKR Designee(s)</w:t>
      </w:r>
      <w:r>
        <w:rPr>
          <w:rFonts w:ascii="Arial" w:cs="Arial" w:eastAsia="Arial" w:hAnsi="Arial"/>
          <w:sz w:val="18"/>
          <w:szCs w:val="18"/>
          <w:color w:val="auto"/>
        </w:rPr>
        <w:t xml:space="preserve">” shall mean any Director designated by the KKR Investor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this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KKR Investor</w:t>
      </w:r>
      <w:r>
        <w:rPr>
          <w:rFonts w:ascii="Arial" w:cs="Arial" w:eastAsia="Arial" w:hAnsi="Arial"/>
          <w:sz w:val="18"/>
          <w:szCs w:val="18"/>
          <w:color w:val="auto"/>
        </w:rPr>
        <w:t>” shall mean KKR Vision Aggregator L.P. and its Permitted Transferees.</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applicable constitutional provision, statute, act, code, law, regulation, rule, ordinance, order, decree, ruling, proclamation, resolution, judgment, decision, declaration, or interpretative or advisory opinion or letter of a Governmental Authority.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Agreement</w:t>
      </w:r>
      <w:r>
        <w:rPr>
          <w:rFonts w:ascii="Arial" w:cs="Arial" w:eastAsia="Arial" w:hAnsi="Arial"/>
          <w:sz w:val="18"/>
          <w:szCs w:val="18"/>
          <w:color w:val="auto"/>
        </w:rPr>
        <w:t>” shall have the meaning set forth in the Recitals.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shall mean, with respect to any Investor, any Transferee that is an Affiliate of such Investor; </w:t>
      </w:r>
      <w:r>
        <w:rPr>
          <w:rFonts w:ascii="Arial" w:cs="Arial" w:eastAsia="Arial" w:hAnsi="Arial"/>
          <w:sz w:val="18"/>
          <w:szCs w:val="18"/>
          <w:u w:val="single" w:color="auto"/>
          <w:color w:val="auto"/>
        </w:rPr>
        <w:t>provided</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u w:val="single" w:color="auto"/>
          <w:color w:val="auto"/>
          <w:highlight w:val="white"/>
        </w:rPr>
        <w:t>however</w:t>
      </w:r>
      <w:r>
        <w:rPr>
          <w:rFonts w:ascii="Arial" w:cs="Arial" w:eastAsia="Arial" w:hAnsi="Arial"/>
          <w:sz w:val="18"/>
          <w:szCs w:val="18"/>
          <w:color w:val="auto"/>
          <w:highlight w:val="white"/>
        </w:rPr>
        <w:t>, that</w:t>
      </w:r>
      <w:r>
        <w:rPr>
          <w:rFonts w:ascii="Arial" w:cs="Arial" w:eastAsia="Arial" w:hAnsi="Arial"/>
          <w:sz w:val="18"/>
          <w:szCs w:val="18"/>
          <w:color w:val="auto"/>
        </w:rPr>
        <w:t xml:space="preserve"> such Transferee shall agree in a writing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to be bound by and to comply with all applicable provisions of this Agreement.</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trust, joint stock company, business trust, unincorporated association, joint venture or other entity of any nature whatsoever.</w:t>
      </w:r>
    </w:p>
    <w:p>
      <w:pPr>
        <w:spacing w:after="0" w:line="19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Company</w:t>
      </w:r>
      <w:r>
        <w:rPr>
          <w:rFonts w:ascii="Arial" w:cs="Arial" w:eastAsia="Arial" w:hAnsi="Arial"/>
          <w:sz w:val="18"/>
          <w:szCs w:val="18"/>
          <w:color w:val="auto"/>
          <w:highlight w:val="white"/>
        </w:rPr>
        <w:t>” shall mean, with respect to any Person, a “portfolio company” (as such term is customarily used among institutional</w:t>
      </w:r>
      <w:r>
        <w:rPr>
          <w:rFonts w:ascii="Arial" w:cs="Arial" w:eastAsia="Arial" w:hAnsi="Arial"/>
          <w:sz w:val="18"/>
          <w:szCs w:val="18"/>
          <w:color w:val="auto"/>
        </w:rPr>
        <w:t xml:space="preserve"> investors), or any entity controlled by any “portfolio company”, of such Person or one of its Affiliates.</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shall mean the Registration Rights Agreement, dated as of March 13, 2014, among the Company and each of the stockholders party thereto, as the same may be amended from time to time in accordance with its terms.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Securities Act of 1933, as amended from time to time, and the rules and regulations promulgated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Entities</w:t>
      </w:r>
      <w:r>
        <w:rPr>
          <w:rFonts w:ascii="Arial" w:cs="Arial" w:eastAsia="Arial" w:hAnsi="Arial"/>
          <w:sz w:val="18"/>
          <w:szCs w:val="18"/>
          <w:color w:val="auto"/>
        </w:rPr>
        <w:t>” shall mean Kohlberg Kravis Roberts &amp; Co. L.P. and Berkshire Partners LLC.</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w:t>
      </w:r>
      <w:r>
        <w:rPr>
          <w:rFonts w:ascii="Arial" w:cs="Arial" w:eastAsia="Arial" w:hAnsi="Arial"/>
          <w:sz w:val="18"/>
          <w:szCs w:val="18"/>
          <w:color w:val="auto"/>
        </w:rPr>
        <w:t>” shall mean The NASDAQ Global Select Market or such other securities exchange or interdealer quotation system on which shares of Common Stock are then listed or quoted.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shall have the meaning set forth in the Preamble.</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with respect to an entity, (i) any corporation of which a majority of the securities entitled to vote generally in the election of directors thereof, at the time as of which any determination is being made, are owned by such entity, either directly or indirectly, and (ii) any joint venture, general or limited partnership, limited liability company or other legal entity in which the entity is the record or beneficial owner, directly or indirectly, of a majority of the voting interests or the general partner.</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Number of Directors</w:t>
      </w:r>
      <w:r>
        <w:rPr>
          <w:rFonts w:ascii="Arial" w:cs="Arial" w:eastAsia="Arial" w:hAnsi="Arial"/>
          <w:sz w:val="18"/>
          <w:szCs w:val="18"/>
          <w:color w:val="auto"/>
        </w:rPr>
        <w:t>” shall mean, at any time of determination, the total number of Directors comprising the Board.</w:t>
      </w:r>
    </w:p>
    <w:p>
      <w:pPr>
        <w:spacing w:after="0" w:line="25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shall mean, directly or indirectly, to sell, transfer, assign, encumber, hypothecate or similarly dispose of, either voluntarily or involuntarily, or to enter into any contract, option or other arrangement or understanding with respect to the sale, transfer, assignment, encumbrance, hypothecation or similar disposition of, any shares of Equity Securities beneficially owned by a Person or any interest in any shares of Equity Securities beneficially owned by a Person. In the event that any Investor that is a corporation, partnership, limited liability company or other legal entity (other than an individual, trust or estate) ceases to be controlled by the Person controlling such Investor or a Permitted Transferee thereof, such event shall be deemed to constitute a “Transfer” subject to the restrictions on Transfer contained or referenced herein.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shall mean any Person to whom any Stockholder or any Transferee thereof Transfers Equity Securities of the Company in accordance with the terms hereof.</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at any time of determination, shares of any class of Equity Securities of the Company that are then entitled to vote generally in the election of Directors.</w:t>
      </w:r>
    </w:p>
    <w:p>
      <w:pPr>
        <w:spacing w:after="0" w:line="22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Construction</w:t>
      </w:r>
      <w:r>
        <w:rPr>
          <w:rFonts w:ascii="Arial" w:cs="Arial" w:eastAsia="Arial" w:hAnsi="Arial"/>
          <w:sz w:val="18"/>
          <w:szCs w:val="18"/>
          <w:color w:val="auto"/>
        </w:rPr>
        <w:t>. Whenever the context requires, the gender of all words used in this Agreement includes the masculine, feminine and neuter forms and the singular form of words shall include the plural and vice versa. All references to Articles and Sections refer to articles and sections of this Agreement. Whenever the words “include,” “includes” or “including” are used in this Agreement, they shall be deemed to be followed by the words “without limitation.” This Agreement shall be construed without regard to any presumption or rule requiring construction or interpretation against the party drafting or causing any instrument to be drafted. Any percentage set forth herein shall be deemed to be automatically adjusted without any action on the part of any party hereto to take into account any stock split, stock dividend or similar transaction occurring after the date of this Agreement so that the rights provided to the Stockholders shall continue to apply to the same extent such rights would have applied absent such stock split, stock dividend or similar transaction.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GOVERNANCE</w:t>
      </w:r>
    </w:p>
    <w:p>
      <w:pPr>
        <w:spacing w:after="0" w:line="26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79" w:lineRule="exact"/>
        <w:rPr>
          <w:sz w:val="20"/>
          <w:szCs w:val="20"/>
          <w:color w:val="auto"/>
        </w:rPr>
      </w:pPr>
    </w:p>
    <w:p>
      <w:pPr>
        <w:ind w:firstLine="656"/>
        <w:spacing w:after="0" w:line="308" w:lineRule="auto"/>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Following the Closing Date, the Berkshire Investor shall have the right, but not the obligation, to nominate to the Board, one (1) Director, so long as the Berkshire Investor and its Affiliates collectively beneficially own 5% or more of the outstanding shares of Common Stock.</w:t>
      </w:r>
    </w:p>
    <w:p>
      <w:pPr>
        <w:spacing w:after="0" w:line="200" w:lineRule="exact"/>
        <w:rPr>
          <w:rFonts w:ascii="Arial" w:cs="Arial" w:eastAsia="Arial" w:hAnsi="Arial"/>
          <w:sz w:val="17"/>
          <w:szCs w:val="17"/>
          <w:color w:val="auto"/>
        </w:rPr>
      </w:pPr>
    </w:p>
    <w:p>
      <w:pPr>
        <w:jc w:val="both"/>
        <w:ind w:firstLine="656"/>
        <w:spacing w:after="0" w:line="269" w:lineRule="auto"/>
        <w:tabs>
          <w:tab w:leader="none" w:pos="1331"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Following the Closing Date, the KKR Investor shall have the right, but not the obligation, to nominate to the Board a number of designees equal to at least: (i) a majority of the Total Number of Directors, so long as the KKR Investor and its Affiliates collectively beneficially own 50% or more of the outstanding shares of Common Stock; (ii) 40% of the Total Number of Directors, in the event that the KKR Investor and its Affiliates collectively beneficially own 40% or more, but less than 50%, of the outstanding shares of Common Stock; (iii) 30% of the Total Number of Directors, in the event that the KKR Investor and its Affiliates collectively beneficially own 30% or more, but less than 40%, of the outstanding shares of Common Stock; (iv) 20% of the Total Number of Directors, in the event that the KKR Investor and its Affiliates collectively beneficially own 20% or more, but less than 30%, of the outstanding shares of Common Stock; and (v) 10% of the Total Number of Directors, in the event that the KKR Investor and its Affiliates collectively beneficially own 5% or more, but less than 20%, of the outstanding shares of Common Stock. For purposes of calculating the number of Directors that the KKR Investor is entitled to designate pursuant to the immediately preceding sentence, any fractional amounts shall automatically be rounded up to the nearest whole number (e.g., one and one quarter (1 and 1/4) Directors shall equate to two (2) Directors), and any such calculations shall be made after taking into account any increase in the Total Number of Directors.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firstLine="656"/>
        <w:spacing w:after="0" w:line="277" w:lineRule="auto"/>
        <w:tabs>
          <w:tab w:leader="none" w:pos="13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 as of the Closing Date, the Berkshire Designee shall initially be D. Randolph Peeler and the KKR Designees shall initially be Nathaniel H. Taylor and Felix Gernburd.</w:t>
      </w:r>
    </w:p>
    <w:p>
      <w:pPr>
        <w:spacing w:after="0" w:line="224" w:lineRule="exact"/>
        <w:rPr>
          <w:rFonts w:ascii="Arial" w:cs="Arial" w:eastAsia="Arial" w:hAnsi="Arial"/>
          <w:sz w:val="18"/>
          <w:szCs w:val="18"/>
          <w:color w:val="auto"/>
        </w:rPr>
      </w:pPr>
    </w:p>
    <w:p>
      <w:pPr>
        <w:jc w:val="both"/>
        <w:ind w:firstLine="656"/>
        <w:spacing w:after="0" w:line="302" w:lineRule="auto"/>
        <w:tabs>
          <w:tab w:leader="none" w:pos="1331"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Company agrees, to the fullest extent permitted by applicable Law (including with respect to fiduciary duties under Delaware law), to include the individuals designated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in the slate of nominees recommended by the Board for election at any meeting of stockholders called for the purpose of electing Directors and to use its best efforts to cause the election of each such designee to the Board, including nominating each such individual to be elected as a Director as provided herein, recommending such individual’s election and soliciting proxies or consents in favor thereof.</w:t>
      </w:r>
    </w:p>
    <w:p>
      <w:pPr>
        <w:spacing w:after="0" w:line="208" w:lineRule="exact"/>
        <w:rPr>
          <w:rFonts w:ascii="Arial" w:cs="Arial" w:eastAsia="Arial" w:hAnsi="Arial"/>
          <w:sz w:val="16"/>
          <w:szCs w:val="16"/>
          <w:color w:val="auto"/>
        </w:rPr>
      </w:pPr>
    </w:p>
    <w:p>
      <w:pPr>
        <w:jc w:val="both"/>
        <w:ind w:firstLine="656"/>
        <w:spacing w:after="0" w:line="291" w:lineRule="auto"/>
        <w:tabs>
          <w:tab w:leader="none" w:pos="13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In the event that the Berkshire Investor or the KKR Investor, as applicable, has nominated less than the total number of designees that the Berkshire Investor or the KKR Investor, as applicable, shall be entitled to nominate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2.1(b)</w:t>
      </w:r>
      <w:r>
        <w:rPr>
          <w:rFonts w:ascii="Arial" w:cs="Arial" w:eastAsia="Arial" w:hAnsi="Arial"/>
          <w:sz w:val="16"/>
          <w:szCs w:val="16"/>
          <w:color w:val="auto"/>
        </w:rPr>
        <w:t>, as applicable, then the Berkshire Investor or the KKR Investor, as applicable, shall have the right, at any time, to nominate such additional designee(s) to which it is entitled, in which case, the Company and the Directors shall take all necessary corporate action, to the fullest extent permitted by applicable Law (including with respect to fiduciary duties under Delaware law), to (x) enable the Berkshire Investor or the KKR Investor, as applicable, to nominate and effect the election or appointment of such additional individuals, whether by increasing the size of the Board or otherwise, and (y) designate such additional individuals nominated by the Berkshire Investor or the KKR Investor, as applicable, to fill such newly created vacancies or to fill any other existing vacancies.</w:t>
      </w:r>
    </w:p>
    <w:p>
      <w:pPr>
        <w:spacing w:after="0" w:line="221" w:lineRule="exact"/>
        <w:rPr>
          <w:rFonts w:ascii="Arial" w:cs="Arial" w:eastAsia="Arial" w:hAnsi="Arial"/>
          <w:sz w:val="16"/>
          <w:szCs w:val="16"/>
          <w:color w:val="auto"/>
        </w:rPr>
      </w:pPr>
    </w:p>
    <w:p>
      <w:pPr>
        <w:jc w:val="both"/>
        <w:ind w:firstLine="656"/>
        <w:spacing w:after="0" w:line="255" w:lineRule="auto"/>
        <w:tabs>
          <w:tab w:leader="none" w:pos="13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 the event that a vacancy is created at any time by the death, disability, retirement, resignation or removal (with or without cause) of any Director designated by the Berkshire Investor or the KKR Investor, as applicable,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the remaining Directors and the Company shall, to the fullest extent permitted by applicable Law (including with respect to fiduciary duties under Delaware law), cause the vacancy created thereby to be filled by a new designee of the Berkshire Investor or the KKR Investor, as applicable, who designated such Director as soon as possible, and the Company hereby agrees to take, to the fullest extent permitted by applicable Law (including with respect to fiduciary duties under Delaware law), at any time and from time to time, all actions necessary to accomplish the same.</w:t>
      </w:r>
    </w:p>
    <w:p>
      <w:pPr>
        <w:spacing w:after="0" w:line="247" w:lineRule="exact"/>
        <w:rPr>
          <w:rFonts w:ascii="Arial" w:cs="Arial" w:eastAsia="Arial" w:hAnsi="Arial"/>
          <w:sz w:val="18"/>
          <w:szCs w:val="18"/>
          <w:color w:val="auto"/>
        </w:rPr>
      </w:pPr>
    </w:p>
    <w:p>
      <w:pPr>
        <w:jc w:val="both"/>
        <w:ind w:firstLine="656"/>
        <w:spacing w:after="0" w:line="259" w:lineRule="auto"/>
        <w:tabs>
          <w:tab w:leader="none" w:pos="13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 the event that the Berkshire Investor or the KKR Investor, as applicable, shall cease to have the right to designate a Director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designee of such Investor selected by such Investor shall resign immediately or such Investor shall take all action necessary to remove such designee and the Directors remaining in office shall be entitled to decrease the size of the Board to eliminate such vacancy and no consent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2.3(b)</w:t>
      </w:r>
      <w:r>
        <w:rPr>
          <w:rFonts w:ascii="Arial" w:cs="Arial" w:eastAsia="Arial" w:hAnsi="Arial"/>
          <w:sz w:val="18"/>
          <w:szCs w:val="18"/>
          <w:color w:val="auto"/>
        </w:rPr>
        <w:t xml:space="preserve"> shall be required in connection with such decrease.</w:t>
      </w:r>
    </w:p>
    <w:p>
      <w:pPr>
        <w:spacing w:after="0" w:line="240" w:lineRule="exact"/>
        <w:rPr>
          <w:rFonts w:ascii="Arial" w:cs="Arial" w:eastAsia="Arial" w:hAnsi="Arial"/>
          <w:sz w:val="18"/>
          <w:szCs w:val="18"/>
          <w:color w:val="auto"/>
        </w:rPr>
      </w:pPr>
    </w:p>
    <w:p>
      <w:pPr>
        <w:jc w:val="both"/>
        <w:ind w:firstLine="656"/>
        <w:spacing w:after="0" w:line="259" w:lineRule="auto"/>
        <w:tabs>
          <w:tab w:leader="none" w:pos="13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Berkshire Investor or the KKR Investor shall have the right to representation on the board of directors or other similar governing body (or any committee thereof in the case of the KKR Investor) of any Subsidiary of the Company in proportion to their representation on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Berkshire Investor shall have such right to representation only if and to the extent a KKR Designee is serving on any such board of directors or other similar governing body.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9" w:name="page50"/>
    <w:bookmarkEnd w:id="49"/>
    <w:p>
      <w:pPr>
        <w:jc w:val="both"/>
        <w:ind w:firstLine="656"/>
        <w:spacing w:after="0" w:line="259" w:lineRule="auto"/>
        <w:tabs>
          <w:tab w:leader="none" w:pos="13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shall reimburse the Berkshire Designee and the KKR Designee(s), as applicable, for their reasonable out-of-pocket expenses incurred by them in connection with performing his or her duties as a member of the Board (or any committee thereof), including the reasonable out-of-pocket expenses incurred by such person for attending meetings of the Board (or any committee thereof), or in connection with their service on the board or other similar governing body of any Subsidiary of the Company (or any committee thereof).</w:t>
      </w:r>
    </w:p>
    <w:p>
      <w:pPr>
        <w:spacing w:after="0" w:line="240" w:lineRule="exact"/>
        <w:rPr>
          <w:rFonts w:ascii="Arial" w:cs="Arial" w:eastAsia="Arial" w:hAnsi="Arial"/>
          <w:sz w:val="18"/>
          <w:szCs w:val="18"/>
          <w:color w:val="auto"/>
        </w:rPr>
      </w:pPr>
    </w:p>
    <w:p>
      <w:pPr>
        <w:jc w:val="both"/>
        <w:ind w:firstLine="656"/>
        <w:spacing w:after="0" w:line="268" w:lineRule="auto"/>
        <w:tabs>
          <w:tab w:leader="none" w:pos="1399"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Each of the Stockholders agrees to vote, or act by written consent with respect to, all Voting Securities beneficially owned by it, at each annual or special meeting of stockholders of the Company at which Directors are to be elected, or to take all actions by written consent in lieu of any such meeting as are necessary, to cause the Berkshire Designee and the KKR Designee(s) to be elected to the Board. Each of the Stockholders agrees to use its commercially reasonable efforts to cause the election of each such designee to the Board, including nominating such individuals to be elected as members of the Board. In the event that a vacancy is created at any time by the death, disability, retirement, resignation or removal (with or without cause) of any Director designated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as applicable, and the remaining Directors pursuant to </w:t>
      </w:r>
      <w:r>
        <w:rPr>
          <w:rFonts w:ascii="Arial" w:cs="Arial" w:eastAsia="Arial" w:hAnsi="Arial"/>
          <w:sz w:val="17"/>
          <w:szCs w:val="17"/>
          <w:u w:val="single" w:color="auto"/>
          <w:color w:val="auto"/>
        </w:rPr>
        <w:t>Section 2.1(f)</w:t>
      </w:r>
      <w:r>
        <w:rPr>
          <w:rFonts w:ascii="Arial" w:cs="Arial" w:eastAsia="Arial" w:hAnsi="Arial"/>
          <w:sz w:val="17"/>
          <w:szCs w:val="17"/>
          <w:color w:val="auto"/>
        </w:rPr>
        <w:t xml:space="preserve"> have caused the vacancy created thereby to be filled by a new designee of the Berkshire Investor or the KKR Investor, as applicable, then in such case each Stockholder hereby agrees to take, at any time and from time to time, all actions necessary to accomplish the same. Upon the written request of the Berkshire Investor or the KKR Investor, as applicable, each other Stockholder shall vote, or act by written consent with respect to, all Voting Securities beneficially owned by it and otherwise take or cause to be taken all actions necessary to remove any Director designated by such Stockholders and to elect any replacement Director designated as provided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Unless the Berkshire Investor or the KKR Investor shall otherwise request in writing, no other Stockholder shall take any action to cause the removal of any Directors designated by such Stockholder. The provisions of this section 2.1(j) shall be terminable at the option of the Berkshire Investor upon the earlier to occur of (i) a Berkshire Designee no longer serving on the Board or (ii) the combined voting power of Common Stock held by the Investors representing less than 50% of the total voting power of the Common Stock outstanding and the Company no longer qualifies as a “controlled company” within the meaning of Stock Exchange rules.</w:t>
      </w:r>
    </w:p>
    <w:p>
      <w:pPr>
        <w:spacing w:after="0" w:line="237" w:lineRule="exact"/>
        <w:rPr>
          <w:rFonts w:ascii="Arial" w:cs="Arial" w:eastAsia="Arial" w:hAnsi="Arial"/>
          <w:sz w:val="17"/>
          <w:szCs w:val="17"/>
          <w:color w:val="auto"/>
        </w:rPr>
      </w:pPr>
    </w:p>
    <w:p>
      <w:pPr>
        <w:ind w:right="20" w:firstLine="656"/>
        <w:spacing w:after="0" w:line="277" w:lineRule="auto"/>
        <w:tabs>
          <w:tab w:leader="none" w:pos="13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rights of the Stockholders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are personal to the Stockholders and shall not be exercised by any Transferee other than a Permitted Transferee.</w:t>
      </w:r>
    </w:p>
    <w:p>
      <w:pPr>
        <w:spacing w:after="0" w:line="224"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Committees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7" w:lineRule="auto"/>
        <w:tabs>
          <w:tab w:leader="none" w:pos="132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For so long as the Berkshire Investor has the right to designate a Director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 the event the Board shall establish an executive committee (or any committee performing the functions usually reserved for an executive committee), the Berkshire Investor shall have the right, but not the obligation, to designate the Berkshire Designee as a member of such executive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of such designee to serve on the executive committee shall be subject to applicable Law and the Company’s obligation to comply with any applicable independence requirements of the Stock Exchange.</w:t>
      </w:r>
    </w:p>
    <w:p>
      <w:pPr>
        <w:spacing w:after="0" w:line="242" w:lineRule="exact"/>
        <w:rPr>
          <w:rFonts w:ascii="Arial" w:cs="Arial" w:eastAsia="Arial" w:hAnsi="Arial"/>
          <w:sz w:val="18"/>
          <w:szCs w:val="18"/>
          <w:color w:val="auto"/>
        </w:rPr>
      </w:pPr>
    </w:p>
    <w:p>
      <w:pPr>
        <w:jc w:val="both"/>
        <w:ind w:firstLine="656"/>
        <w:spacing w:after="0" w:line="312" w:lineRule="auto"/>
        <w:tabs>
          <w:tab w:leader="none" w:pos="1304"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For so long as the KKR Investor has the right to designate at least one (1) Director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KKR Investor shall have the right, but not the obligation, to designate one member of each committee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of any Director to serve on a committee shall be subject to applicable Law and the Company’s obligation to comply with any applicable independence requirements of the Stock Exchange.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0" w:name="page51"/>
    <w:bookmarkEnd w:id="50"/>
    <w:p>
      <w:pPr>
        <w:ind w:left="1300"/>
        <w:spacing w:after="0"/>
        <w:tabs>
          <w:tab w:leader="none" w:pos="29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Consent Rights</w:t>
      </w:r>
      <w:r>
        <w:rPr>
          <w:rFonts w:ascii="Arial" w:cs="Arial" w:eastAsia="Arial" w:hAnsi="Arial"/>
          <w:sz w:val="16"/>
          <w:szCs w:val="16"/>
          <w:color w:val="auto"/>
          <w:highlight w:val="white"/>
        </w:rPr>
        <w:t>.</w:t>
      </w:r>
    </w:p>
    <w:p>
      <w:pPr>
        <w:spacing w:after="0" w:line="279" w:lineRule="exact"/>
        <w:rPr>
          <w:sz w:val="20"/>
          <w:szCs w:val="20"/>
          <w:color w:val="auto"/>
        </w:rPr>
      </w:pPr>
    </w:p>
    <w:p>
      <w:pPr>
        <w:jc w:val="both"/>
        <w:ind w:firstLine="656"/>
        <w:spacing w:after="0" w:line="264"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so long as the Berkshire Investor and its Affiliates collectively beneficially own at least 5% of the outstanding shares of Common Stock, the following actions by the Company or any of its Subsidiaries shall require the approval, in addition to the Board’s approval (or the approval of the required governing body of any Subsidiary of the Company), of the Berkshire Investor:</w:t>
      </w:r>
    </w:p>
    <w:p>
      <w:pPr>
        <w:spacing w:after="0" w:line="235" w:lineRule="exact"/>
        <w:rPr>
          <w:rFonts w:ascii="Arial" w:cs="Arial" w:eastAsia="Arial" w:hAnsi="Arial"/>
          <w:sz w:val="18"/>
          <w:szCs w:val="18"/>
          <w:color w:val="auto"/>
        </w:rPr>
      </w:pPr>
    </w:p>
    <w:p>
      <w:pPr>
        <w:ind w:left="660" w:firstLine="645"/>
        <w:spacing w:after="0" w:line="277" w:lineRule="auto"/>
        <w:tabs>
          <w:tab w:leader="none" w:pos="20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redemption, acquisition or other purchase of any shares of Equity Securities (a “</w:t>
      </w:r>
      <w:r>
        <w:rPr>
          <w:rFonts w:ascii="Arial" w:cs="Arial" w:eastAsia="Arial" w:hAnsi="Arial"/>
          <w:sz w:val="18"/>
          <w:szCs w:val="18"/>
          <w:u w:val="single" w:color="auto"/>
          <w:color w:val="auto"/>
        </w:rPr>
        <w:t>Repurchase</w:t>
      </w:r>
      <w:r>
        <w:rPr>
          <w:rFonts w:ascii="Arial" w:cs="Arial" w:eastAsia="Arial" w:hAnsi="Arial"/>
          <w:sz w:val="18"/>
          <w:szCs w:val="18"/>
          <w:color w:val="auto"/>
        </w:rPr>
        <w:t>”) from the KKR Investor or any of its Affiliates other than on a pro rata basis; and</w:t>
      </w:r>
    </w:p>
    <w:p>
      <w:pPr>
        <w:spacing w:after="0" w:line="197" w:lineRule="exact"/>
        <w:rPr>
          <w:rFonts w:ascii="Arial" w:cs="Arial" w:eastAsia="Arial" w:hAnsi="Arial"/>
          <w:sz w:val="18"/>
          <w:szCs w:val="18"/>
          <w:color w:val="auto"/>
        </w:rPr>
      </w:pPr>
    </w:p>
    <w:p>
      <w:pPr>
        <w:jc w:val="both"/>
        <w:ind w:left="660" w:firstLine="645"/>
        <w:spacing w:after="0" w:line="270" w:lineRule="auto"/>
        <w:tabs>
          <w:tab w:leader="none" w:pos="2298"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other transaction with or involving the KKR Investor or any of its Affiliates, other than (A) a Transfer to a Permitted Transferee, (B) transactions pursuant to any agreement in effect on the Closing Date, including, without limitation, the Registration Rights Agreement and the Indemnification Agreement, and any amendment, termination or material waiver under such agreements, (C) customary indemnification agreements with Directors, (D) transactions with Capstone Consulting LLC and its Subsidiaries for services rendered to the Company or its Subsidiaries (other than issuances of Equity Securities or capital stock or other securities of any direct or indirect Subsidiary of the Company to Capstone Consulting LLC or its Subsidiaries not made in compliance with the terms of this Agreement), (E) transactions with KKR Capital Markets LLC for services rendered to the Company or its Subsidiaries (other than issuances of Equity Securities or capital stock or other securities of any direct or indirect Subsidiary of the Company to KKR Capital Markets LLC not made in compliance with the terms of this Agreement), and (F) any transaction or series of related transactions in the ordinary course of business and on arms-length third-party terms and not involving amounts in excess of $5 million per annum.</w:t>
      </w:r>
    </w:p>
    <w:p>
      <w:pPr>
        <w:spacing w:after="0" w:line="231" w:lineRule="exact"/>
        <w:rPr>
          <w:rFonts w:ascii="Arial" w:cs="Arial" w:eastAsia="Arial" w:hAnsi="Arial"/>
          <w:sz w:val="17"/>
          <w:szCs w:val="17"/>
          <w:color w:val="auto"/>
        </w:rPr>
      </w:pPr>
    </w:p>
    <w:p>
      <w:pPr>
        <w:jc w:val="both"/>
        <w:ind w:firstLine="656"/>
        <w:spacing w:after="0" w:line="286" w:lineRule="auto"/>
        <w:tabs>
          <w:tab w:leader="none" w:pos="1344"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so long as the KKR Investor and its Affiliates collectively beneficially own at least 25% of the outstanding shares of Common Stock, the following actions by the Company or any of its Subsidiaries shall require the approval, in addition to any approval by the stockholders of the Company or the Board’s approval (or the approval of the required governing body of any Subsidiary of the Company), of the KKR Investor:</w:t>
      </w:r>
    </w:p>
    <w:p>
      <w:pPr>
        <w:spacing w:after="0" w:line="219" w:lineRule="exact"/>
        <w:rPr>
          <w:rFonts w:ascii="Arial" w:cs="Arial" w:eastAsia="Arial" w:hAnsi="Arial"/>
          <w:sz w:val="17"/>
          <w:szCs w:val="17"/>
          <w:color w:val="auto"/>
        </w:rPr>
      </w:pPr>
    </w:p>
    <w:p>
      <w:pPr>
        <w:ind w:left="2020" w:hanging="715"/>
        <w:spacing w:after="0"/>
        <w:tabs>
          <w:tab w:leader="none" w:pos="2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entering into or effecting a Change in Control;</w:t>
      </w:r>
    </w:p>
    <w:p>
      <w:pPr>
        <w:spacing w:after="0" w:line="279" w:lineRule="exact"/>
        <w:rPr>
          <w:rFonts w:ascii="Arial" w:cs="Arial" w:eastAsia="Arial" w:hAnsi="Arial"/>
          <w:sz w:val="18"/>
          <w:szCs w:val="18"/>
          <w:color w:val="auto"/>
        </w:rPr>
      </w:pPr>
    </w:p>
    <w:p>
      <w:pPr>
        <w:ind w:left="660" w:right="20" w:firstLine="645"/>
        <w:spacing w:after="0" w:line="277" w:lineRule="auto"/>
        <w:tabs>
          <w:tab w:leader="none" w:pos="2109" w:val="left"/>
        </w:tabs>
        <w:numPr>
          <w:ilvl w:val="1"/>
          <w:numId w:val="41"/>
        </w:numPr>
        <w:rPr>
          <w:rFonts w:ascii="Arial" w:cs="Arial" w:eastAsia="Arial" w:hAnsi="Arial"/>
          <w:sz w:val="18"/>
          <w:szCs w:val="18"/>
          <w:color w:val="auto"/>
        </w:rPr>
      </w:pPr>
      <w:r>
        <w:rPr>
          <w:rFonts w:ascii="Arial" w:cs="Arial" w:eastAsia="Arial" w:hAnsi="Arial"/>
          <w:sz w:val="18"/>
          <w:szCs w:val="18"/>
          <w:color w:val="auto"/>
        </w:rPr>
        <w:t>entering into any agreement providing for the acquisition or divestiture of assets or equity security of any Person, in each case providing for aggregate consideration in excess of $25 million;</w:t>
      </w:r>
    </w:p>
    <w:p>
      <w:pPr>
        <w:spacing w:after="0" w:line="224" w:lineRule="exact"/>
        <w:rPr>
          <w:rFonts w:ascii="Arial" w:cs="Arial" w:eastAsia="Arial" w:hAnsi="Arial"/>
          <w:sz w:val="18"/>
          <w:szCs w:val="18"/>
          <w:color w:val="auto"/>
        </w:rPr>
      </w:pPr>
    </w:p>
    <w:p>
      <w:pPr>
        <w:ind w:left="660" w:firstLine="645"/>
        <w:spacing w:after="0" w:line="277" w:lineRule="auto"/>
        <w:tabs>
          <w:tab w:leader="none" w:pos="21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entering into any joint venture or similar business alliance having a fair market value as of the date of formation thereof (as reasonably determined by the Board) in excess of $25 million;</w:t>
      </w:r>
    </w:p>
    <w:p>
      <w:pPr>
        <w:spacing w:after="0" w:line="224" w:lineRule="exact"/>
        <w:rPr>
          <w:rFonts w:ascii="Arial" w:cs="Arial" w:eastAsia="Arial" w:hAnsi="Arial"/>
          <w:sz w:val="18"/>
          <w:szCs w:val="18"/>
          <w:color w:val="auto"/>
        </w:rPr>
      </w:pPr>
    </w:p>
    <w:p>
      <w:pPr>
        <w:ind w:left="660" w:right="20" w:firstLine="645"/>
        <w:spacing w:after="0" w:line="308" w:lineRule="auto"/>
        <w:tabs>
          <w:tab w:leader="none" w:pos="2041" w:val="left"/>
        </w:tabs>
        <w:numPr>
          <w:ilvl w:val="1"/>
          <w:numId w:val="41"/>
        </w:numPr>
        <w:rPr>
          <w:rFonts w:ascii="Arial" w:cs="Arial" w:eastAsia="Arial" w:hAnsi="Arial"/>
          <w:sz w:val="17"/>
          <w:szCs w:val="17"/>
          <w:color w:val="auto"/>
        </w:rPr>
      </w:pPr>
      <w:r>
        <w:rPr>
          <w:rFonts w:ascii="Arial" w:cs="Arial" w:eastAsia="Arial" w:hAnsi="Arial"/>
          <w:sz w:val="17"/>
          <w:szCs w:val="17"/>
          <w:color w:val="auto"/>
        </w:rPr>
        <w:t>initiating a voluntary liquidation, dissolution, receivership, bankruptcy or other insolvency proceeding involving the Company or any Subsidiary of the Company that is a “significant subsidiary” as defined in Rule 1-02 of Regulation S-X under the Exchange Act;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1" w:name="page52"/>
    <w:bookmarkEnd w:id="51"/>
    <w:p>
      <w:pPr>
        <w:ind w:left="2000" w:hanging="695"/>
        <w:spacing w:after="0"/>
        <w:tabs>
          <w:tab w:leader="none" w:pos="2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material change in the nature of the business of the Company and its Subsidiaries, taken as a whole;</w:t>
      </w:r>
    </w:p>
    <w:p>
      <w:pPr>
        <w:spacing w:after="0" w:line="279" w:lineRule="exact"/>
        <w:rPr>
          <w:rFonts w:ascii="Arial" w:cs="Arial" w:eastAsia="Arial" w:hAnsi="Arial"/>
          <w:sz w:val="18"/>
          <w:szCs w:val="18"/>
          <w:color w:val="auto"/>
        </w:rPr>
      </w:pPr>
    </w:p>
    <w:p>
      <w:pPr>
        <w:jc w:val="both"/>
        <w:ind w:left="660" w:firstLine="645"/>
        <w:spacing w:after="0" w:line="259" w:lineRule="auto"/>
        <w:tabs>
          <w:tab w:leader="none" w:pos="21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Repurchase other than (x) open market Repurchases made pursuant to a share repurchase plan approved by the Board or (y) Repurchases in accordance with any existing compensation plan of the Company or any Subsidiary of the Company or a Repurchase from an employee in connection with such employee’s termination of employment with the Company or any Subsidiary of the Company or otherwise in accordance with such employee’s management stockholder’s agreement with the Company;</w:t>
      </w:r>
    </w:p>
    <w:p>
      <w:pPr>
        <w:spacing w:after="0" w:line="240" w:lineRule="exact"/>
        <w:rPr>
          <w:rFonts w:ascii="Arial" w:cs="Arial" w:eastAsia="Arial" w:hAnsi="Arial"/>
          <w:sz w:val="18"/>
          <w:szCs w:val="18"/>
          <w:color w:val="auto"/>
        </w:rPr>
      </w:pPr>
    </w:p>
    <w:p>
      <w:pPr>
        <w:jc w:val="both"/>
        <w:ind w:left="660" w:firstLine="645"/>
        <w:spacing w:after="0" w:line="286" w:lineRule="auto"/>
        <w:tabs>
          <w:tab w:leader="none" w:pos="219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incurrence of indebtedness for borrowed money (including through the issuance of debt securities or the guarantee of indebtedness of another Person) in an aggregate principal amount in excess of $50 million in any transaction or series of related transactions, other than borrowings under the Company’s revolving credit facility (or amendments, extensions, or replacements thereof);</w:t>
      </w:r>
    </w:p>
    <w:p>
      <w:pPr>
        <w:spacing w:after="0" w:line="219" w:lineRule="exact"/>
        <w:rPr>
          <w:rFonts w:ascii="Arial" w:cs="Arial" w:eastAsia="Arial" w:hAnsi="Arial"/>
          <w:sz w:val="17"/>
          <w:szCs w:val="17"/>
          <w:color w:val="auto"/>
        </w:rPr>
      </w:pPr>
    </w:p>
    <w:p>
      <w:pPr>
        <w:ind w:left="2180" w:hanging="875"/>
        <w:spacing w:after="0"/>
        <w:tabs>
          <w:tab w:leader="none" w:pos="2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terminating the employment of the Chief Executive Officer of the Company or hiring a new Chief Executive Officer of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64" w:lineRule="exact"/>
        <w:rPr>
          <w:rFonts w:ascii="Arial" w:cs="Arial" w:eastAsia="Arial" w:hAnsi="Arial"/>
          <w:sz w:val="17"/>
          <w:szCs w:val="17"/>
          <w:color w:val="auto"/>
        </w:rPr>
      </w:pPr>
    </w:p>
    <w:p>
      <w:pPr>
        <w:ind w:left="660" w:firstLine="645"/>
        <w:spacing w:after="0" w:line="277" w:lineRule="auto"/>
        <w:tabs>
          <w:tab w:leader="none" w:pos="20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w:t>
      </w:r>
      <w:r>
        <w:rPr>
          <w:rFonts w:ascii="Arial" w:cs="Arial" w:eastAsia="Arial" w:hAnsi="Arial"/>
          <w:sz w:val="18"/>
          <w:szCs w:val="18"/>
          <w:color w:val="auto"/>
        </w:rPr>
        <w:t>, any increase or decrease in the size or composition of the Board, committees of the Board, and boards and committees of Subsidiaries of the Company; and</w:t>
      </w:r>
    </w:p>
    <w:p>
      <w:pPr>
        <w:spacing w:after="0" w:line="224" w:lineRule="exact"/>
        <w:rPr>
          <w:rFonts w:ascii="Arial" w:cs="Arial" w:eastAsia="Arial" w:hAnsi="Arial"/>
          <w:sz w:val="18"/>
          <w:szCs w:val="18"/>
          <w:color w:val="auto"/>
        </w:rPr>
      </w:pPr>
    </w:p>
    <w:p>
      <w:pPr>
        <w:jc w:val="both"/>
        <w:ind w:left="660" w:firstLine="645"/>
        <w:spacing w:after="0" w:line="273" w:lineRule="auto"/>
        <w:tabs>
          <w:tab w:leader="none" w:pos="2085"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any transaction with or involving any Affiliate of the Company (other than the KKR Investor and its Affiliates), other than (A) a Transfer to a Permitted Transferee, (B) transactions pursuant to any agreement in effect on the Closing Date, including, without limitation, the Registration Rights Agreement and the Indemnification Agreement, and any amendment, termination or material waiver under such agreements, (C) customary indemnification agreements with Directors, (D) transactions permitted by </w:t>
      </w:r>
      <w:r>
        <w:rPr>
          <w:rFonts w:ascii="Arial" w:cs="Arial" w:eastAsia="Arial" w:hAnsi="Arial"/>
          <w:sz w:val="17"/>
          <w:szCs w:val="17"/>
          <w:u w:val="single" w:color="auto"/>
          <w:color w:val="auto"/>
        </w:rPr>
        <w:t>Section 2.3(b)(vi)(y)</w:t>
      </w:r>
      <w:r>
        <w:rPr>
          <w:rFonts w:ascii="Arial" w:cs="Arial" w:eastAsia="Arial" w:hAnsi="Arial"/>
          <w:sz w:val="17"/>
          <w:szCs w:val="17"/>
          <w:color w:val="auto"/>
        </w:rPr>
        <w:t xml:space="preserve"> above and other customary compensation arrangements with employees of the Company; and (E) any transaction or series of related transactions in the ordinary course of business and on arms-length third-party terms and not involving amounts in excess of $5 million per annum.</w:t>
      </w:r>
    </w:p>
    <w:p>
      <w:pPr>
        <w:spacing w:after="0" w:line="20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Controlled Company</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9" w:lineRule="auto"/>
        <w:tabs>
          <w:tab w:leader="none" w:pos="14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Investors acknowledge and agree that, (i) by virtue of this Article II, they are acting as a “group” within the meaning of the Stock Exchange rules as of the date hereof, and (ii) by virtue of the combined voting power of Common Stock held by the Investors representing more than 50% of the total voting power of the Common Stock outstanding as of the Closing Date, the Company qualifies as a “controlled company” within the meaning of Stock Exchange rules as of the Closing Date.</w:t>
      </w:r>
    </w:p>
    <w:p>
      <w:pPr>
        <w:spacing w:after="0" w:line="240" w:lineRule="exact"/>
        <w:rPr>
          <w:rFonts w:ascii="Arial" w:cs="Arial" w:eastAsia="Arial" w:hAnsi="Arial"/>
          <w:sz w:val="18"/>
          <w:szCs w:val="18"/>
          <w:color w:val="auto"/>
        </w:rPr>
      </w:pPr>
    </w:p>
    <w:p>
      <w:pPr>
        <w:jc w:val="both"/>
        <w:ind w:firstLine="656"/>
        <w:spacing w:after="0" w:line="257" w:lineRule="auto"/>
        <w:tabs>
          <w:tab w:leader="none" w:pos="147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 long as the Company qualifies as a “controlled company” for purposes of Stock Exchange rules, the Company will elect to be a “controlled company” for purposes of Stock Exchange rules, and will disclose in its annual meeting proxy statement that it is a “controlled company” and the basis for that determination. If the Company ceases to qualify as a “controlled company” for purposes of Stock Exchange rules, the Investors and the Company will take whatever action may be reasonably necessary in relation to such party, if any, to cause the Company to comply with Stock Exchange rules as then in effect within the timeframe for compliance available under such rules.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2" w:name="page53"/>
    <w:bookmarkEnd w:id="52"/>
    <w:p>
      <w:pPr>
        <w:jc w:val="both"/>
        <w:ind w:firstLine="1297"/>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Permitted Disclosure</w:t>
      </w:r>
      <w:r>
        <w:rPr>
          <w:rFonts w:ascii="Arial" w:cs="Arial" w:eastAsia="Arial" w:hAnsi="Arial"/>
          <w:sz w:val="18"/>
          <w:szCs w:val="18"/>
          <w:color w:val="auto"/>
        </w:rPr>
        <w:t>. The Berkshire Designee is permitted to disclose to the Berkshire Investor information about the Company and its Affiliates that he or she receives as a result of being a Director, subject to his or her fiduciary duties under Delaware law. Each KKR Designee is permitted to disclose to the KKR Investor information about the Company and its Affiliates that he or she receives as a result of being a Director, subject to his or her fiduciary duties under Delaware law.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w:t>
      </w:r>
    </w:p>
    <w:p>
      <w:pPr>
        <w:spacing w:after="0" w:line="26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Books and Records; Access; Certain Reports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-121920</wp:posOffset>
            </wp:positionV>
            <wp:extent cx="2603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59" w:lineRule="exact"/>
        <w:rPr>
          <w:sz w:val="20"/>
          <w:szCs w:val="20"/>
          <w:color w:val="auto"/>
        </w:rPr>
      </w:pPr>
    </w:p>
    <w:p>
      <w:pPr>
        <w:jc w:val="both"/>
        <w:ind w:firstLine="656"/>
        <w:spacing w:after="0" w:line="289" w:lineRule="auto"/>
        <w:tabs>
          <w:tab w:leader="none" w:pos="1334"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For so long as the Berkshire Investor or the KKR Investor, as applicable, has the right to designate at least one (1) Director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Company shall, and shall cause its Subsidiaries to, permit the Berkshire Investor or the KKR Investor, as applicable, and its designated representatives,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disclose any privileged information of the Company so long as the Company has used its best efforts to provide such information to the Berkshire Investor or the KKR Investor, as applicable, without the loss of any such privilege and notified the Berkshire Investor or the KKR Investor, as applicable, that such information has not been provided.</w:t>
      </w:r>
    </w:p>
    <w:p>
      <w:pPr>
        <w:spacing w:after="0" w:line="220" w:lineRule="exact"/>
        <w:rPr>
          <w:rFonts w:ascii="Arial" w:cs="Arial" w:eastAsia="Arial" w:hAnsi="Arial"/>
          <w:sz w:val="16"/>
          <w:szCs w:val="16"/>
          <w:color w:val="auto"/>
        </w:rPr>
      </w:pPr>
    </w:p>
    <w:p>
      <w:pPr>
        <w:ind w:left="1320" w:hanging="664"/>
        <w:spacing w:after="0"/>
        <w:tabs>
          <w:tab w:leader="none" w:pos="1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So long as the Berkshire Investor or the KKR Investor, as applicable, has the right to designate at least one (1) Director pursuant to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2.1</w:t>
      </w:r>
      <w:r>
        <w:rPr>
          <w:rFonts w:ascii="Arial" w:cs="Arial" w:eastAsia="Arial" w:hAnsi="Arial"/>
          <w:sz w:val="18"/>
          <w:szCs w:val="18"/>
          <w:color w:val="auto"/>
        </w:rPr>
        <w:t>, the Company shall deliver or cause to be delivered to the Berkshire Investor or the KKR Investor, as applicable, at their request:</w:t>
      </w:r>
    </w:p>
    <w:p>
      <w:pPr>
        <w:spacing w:after="0" w:line="264" w:lineRule="exact"/>
        <w:rPr>
          <w:rFonts w:ascii="Arial" w:cs="Arial" w:eastAsia="Arial" w:hAnsi="Arial"/>
          <w:sz w:val="16"/>
          <w:szCs w:val="16"/>
          <w:color w:val="auto"/>
        </w:rPr>
      </w:pPr>
    </w:p>
    <w:p>
      <w:pPr>
        <w:ind w:left="660" w:firstLine="645"/>
        <w:spacing w:after="0" w:line="277" w:lineRule="auto"/>
        <w:tabs>
          <w:tab w:leader="none" w:pos="209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224" w:lineRule="exact"/>
        <w:rPr>
          <w:rFonts w:ascii="Arial" w:cs="Arial" w:eastAsia="Arial" w:hAnsi="Arial"/>
          <w:sz w:val="18"/>
          <w:szCs w:val="18"/>
          <w:color w:val="auto"/>
        </w:rPr>
      </w:pPr>
    </w:p>
    <w:p>
      <w:pPr>
        <w:ind w:left="2020" w:hanging="715"/>
        <w:spacing w:after="0"/>
        <w:tabs>
          <w:tab w:leader="none" w:pos="2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such other reports and information as may be reasonably requested by the Berkshire Investor or the KKR Investor, as applicable;</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disclose any privileged information of the Company so long as the Company has used its best efforts to enter into an arrangement pursuant to which it may provide such information to the Berkshire Investor or the KKR Investor, as applicable, without the loss of any such privilege.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6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Subject to the early termination of any provision as a result of an amendment to this Agreement agreed to by the Board and the Stockholders as provided under </w:t>
      </w:r>
      <w:r>
        <w:rPr>
          <w:rFonts w:ascii="Arial" w:cs="Arial" w:eastAsia="Arial" w:hAnsi="Arial"/>
          <w:sz w:val="18"/>
          <w:szCs w:val="18"/>
          <w:u w:val="single" w:color="auto"/>
          <w:color w:val="auto"/>
        </w:rPr>
        <w:t>Section 4.3</w:t>
      </w:r>
      <w:r>
        <w:rPr>
          <w:rFonts w:ascii="Arial" w:cs="Arial" w:eastAsia="Arial" w:hAnsi="Arial"/>
          <w:sz w:val="18"/>
          <w:szCs w:val="18"/>
          <w:color w:val="auto"/>
        </w:rPr>
        <w:t>, (i) the provisions of Article II shall, with respect to each Stockholder, terminate as provided in the applicable Section of Article II, (ii) the provisions of Article III shall, with respect to each Stockholder, terminate as provided in the applicable Section of Article III, and (iii) this Article IV shall not terminate. Nothing herein shall relieve any party from any liability for the breach of any of the agreements set forth in this Agreement.</w:t>
      </w:r>
    </w:p>
    <w:p>
      <w:pPr>
        <w:spacing w:after="0" w:line="242"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79" w:lineRule="exact"/>
        <w:rPr>
          <w:sz w:val="20"/>
          <w:szCs w:val="20"/>
          <w:color w:val="auto"/>
        </w:rPr>
      </w:pPr>
    </w:p>
    <w:p>
      <w:pPr>
        <w:jc w:val="both"/>
        <w:ind w:firstLine="656"/>
        <w:spacing w:after="0" w:line="283" w:lineRule="auto"/>
        <w:tabs>
          <w:tab w:leader="none" w:pos="136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Stockholder, their respective directors, officers, partners, members, managers, Affiliates and controlling persons (each, an “</w:t>
      </w:r>
      <w:r>
        <w:rPr>
          <w:rFonts w:ascii="Arial" w:cs="Arial" w:eastAsia="Arial" w:hAnsi="Arial"/>
          <w:sz w:val="16"/>
          <w:szCs w:val="16"/>
          <w:u w:val="single" w:color="auto"/>
          <w:color w:val="auto"/>
        </w:rPr>
        <w:t>Stockholder Indemnitee</w:t>
      </w:r>
      <w:r>
        <w:rPr>
          <w:rFonts w:ascii="Arial" w:cs="Arial" w:eastAsia="Arial" w:hAnsi="Arial"/>
          <w:sz w:val="16"/>
          <w:szCs w:val="16"/>
          <w:color w:val="auto"/>
        </w:rPr>
        <w:t>”) from and against any and all liability, including, without limitation, all obligations, costs, fines, claims, actions, injuries, demands, suits, judgments, proceedings, investigations, arbitrations (including stockholder claims, actions, injuries, demands, suits, judgments, proceedings, investigations or arbitrations) and reasonable expenses, including reasonable accountant’s and reasonable attorney’s fees and expenses (together the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incurred by such Stockholder Indemnitee before or after the date of this Agreement to the extent arising out of, resulting from, or relating to (i) such Stockholder Indemnitee’s purchase and/or ownership of any Equity Securities or (ii) any litigation to which any Stockholder Indemnitee is made a party in its capacity as a stockholder or owner of securities (or as a director, officer, partner, member, manager, Affiliate or controlling person of any Stockholder)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indemnification rights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not be available to the extent that (a) any such Losses are incurred as a result of such Stockholder Indemnitee’s willful misconduct or gross negligence; (b) any such Losses are incurred as a result of non-compliance by such Stockholder Indemnitee with any laws or regulations applicable to any of them; or (c) subject to the rights of contribution provided for below, to the extent indemnification for any Losses would violate any applicable Law or public policy. For purposes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none of the circumstances described in the limitations contained in the proviso in the immediately preceding sentence shall be deemed to apply absent a final non-appealable judgment of a court of competent jurisdiction to such effect, in which case to the extent any such limitation is so determined to apply to any Stockholder Indemnitee as to any previously advanced indemnity payments made by the Company under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then such payments shall be promptly repaid by such Stockholder Indemnitee to the Company. The rights of any Stockholder Indemnitee to indemnification hereunder will be in addition to any other rights any such party may have under any other agreement or instrument to which such Stockholder Indemnitee is or becomes a party or is or otherwise becomes a beneficiary or under law or regulation. In the event of any payment of indemnification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to the extent that any Stockholder Indemnitee is indemnified for Losses, the Company will be subrogated to the extent of such payment to all of the related rights of recovery of the Stockholder Indemnitee to which such payment is made against all other Persons. Such Stockholder Indemnitee shall execute all papers reasonably required to evidence such rights. The Company will be entitled at its election to participate in the defense of any third party claim upon which indemnification is due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to assume the defense thereof, with counsel reasonably satisfactory to such Stockholder Indemnitee unless, in the reasonable judgment of the Stockholder Indemnitee, a conflict of interest between the Company and such Stockholder Indemnitee may exist, in which case such Stockholder Indemnitee shall have the right to assume its own defense and the Company shall be liable for all reasonable expenses therefor. Except as set forth above, should the Company assume such defense all further defense costs of the Stockholder Indemnitee in respect of such third party claim shall be for the sole account of such party and not subject to indemnification hereunder. The Company will not without the prior written consent of the Stockholder Indemnitee (which consent shall not be unreasonably withheld) effect any settlement of any threatened or pending third party claim in which such Stockholder Indemnitee is or could have been a party and be entitled to indemnification hereunder unless such settlement solely involves the payment of money and includes an unconditional release of such Stockholder Indemnitee from all liability and claims that are the subject matter of such claim. If the indemnification provided for above is unavailable in respect of any Losses, then the Company, in lieu of indemnifying an Stockholder Indemnitee, shall, if and to the extent permitted by Law, contribute to the amount paid or payable by such Stockholder Indemnitee in such proportion as is appropriate to reflect the relative fault of the Company and such Stockholder Indemnitee in connection with the actions which resulted in such Losses, as well as any other equitable considerations.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both"/>
        <w:ind w:firstLine="656"/>
        <w:spacing w:after="0" w:line="272" w:lineRule="auto"/>
        <w:tabs>
          <w:tab w:leader="none" w:pos="138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agrees to pay or reimburse (i) the Stockholders for (A) all reasonable costs and expenses (including reasonable attorneys’ fees, charges, disbursement and expenses) incurred in connection with any amendment, supplement, modification or waiver of or to any of the terms or provisions of this Agreement or any related agreements and (B) in connection with any stamp, transfer, documentary or other similar taxes, assessments or charges levied by any governmental or revenue authority in respect of this Agreement or any related agreements; and (ii) each Stockholder for all costs and expenses of such Stockholder (including reasonable attorneys’ fees, charges, disbursement and expenses) incurred in connection with (1) the consent to any departure by the Company or any of its Subsidiaries from the terms of any provision of this Agreement or any related agreements and (2) the enforcement or exercise by such Stockholder of any right granted to it or provided for hereunder.</w:t>
      </w:r>
    </w:p>
    <w:p>
      <w:pPr>
        <w:spacing w:after="0" w:line="23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Except as otherwise provided herein, no modification, amendment, restatement, amendment and restatement, or waiver of any provision of this Agreement shall be effective without the approval of the Board and each of the Berkshire Investor and the KKR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Stockholder may waive (in writing) the benefit of any provision of this Agreement with respect to itself for any purpose. The failure of any party to enforce any of the provisions of this Agreement shall in no way be construed as a waiver of such provisions and shall not affect the right of such party thereafter to enforce each and every provision of this Agreement in accordance with its terms. Any written amendment, restatement, amendment and restatement, or waiver to this Agreement that receives the vote or consent of the Stockholders provided herein need not be signed by all Stockholders, but shall be effective in accordance with its terms and shall be binding upon all Stockholders and any Transferees.</w:t>
      </w:r>
    </w:p>
    <w:p>
      <w:pPr>
        <w:spacing w:after="0" w:line="24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Successors, Assigns and Transferees</w:t>
      </w:r>
      <w:r>
        <w:rPr>
          <w:rFonts w:ascii="Arial" w:cs="Arial" w:eastAsia="Arial" w:hAnsi="Arial"/>
          <w:sz w:val="18"/>
          <w:szCs w:val="18"/>
          <w:color w:val="auto"/>
        </w:rPr>
        <w:t xml:space="preserve">. This Agreement shall bind and inure to the benefit of and be enforceable by the parties hereto and their respective successors and permitted assigns. This Agreement may not be assigned without the express prior written consent of the other parties hereto, and any attempted assignment, without such consents, will be null and void;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Berkshire Investor and the KKR Investor shall be entitled to assign, in whole or in part, any of its rights hereunder to any of its Permitted Transferees without such prior written consent.</w:t>
      </w:r>
    </w:p>
    <w:p>
      <w:pPr>
        <w:spacing w:after="0" w:line="24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Third Parties</w:t>
      </w:r>
      <w:r>
        <w:rPr>
          <w:rFonts w:ascii="Arial" w:cs="Arial" w:eastAsia="Arial" w:hAnsi="Arial"/>
          <w:sz w:val="18"/>
          <w:szCs w:val="18"/>
          <w:color w:val="auto"/>
        </w:rPr>
        <w:t>. Except as may otherwise be expressly provided in this Agreement, this Agreement does not create any rights, claims or benefits inuring to any person that is not a party hereto nor create or establish any third party beneficiary hereto.</w:t>
      </w:r>
    </w:p>
    <w:p>
      <w:pPr>
        <w:spacing w:after="0" w:line="22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under this Agreement shall be in writing and shall be deemed effectively given: (a) when delivered personally by hand to the party to be notified (with written confirmation of receipt), (b) when sent by facsimile or e-mail (with written confirmation of transmission), (c) when received or rejected by the addressee if sent by registered or certified mail, postage prepaid, return receipt requested, or (d) one Business Day following the day sent by reputable overnight courier (with written confirmation of receipt), in each case at the following addresses and facsimile numbers (or to such other address or facsimile number as a party may have specified by notice given to the other party pursuant to this provision):</w:t>
      </w:r>
    </w:p>
    <w:p>
      <w:pPr>
        <w:spacing w:after="0" w:line="220" w:lineRule="exact"/>
        <w:rPr>
          <w:sz w:val="20"/>
          <w:szCs w:val="20"/>
          <w:color w:val="auto"/>
        </w:rPr>
      </w:pPr>
    </w:p>
    <w:p>
      <w:pPr>
        <w:ind w:left="1960" w:hanging="655"/>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National Vision Holdings, Inc.</w:t>
      </w:r>
    </w:p>
    <w:p>
      <w:pPr>
        <w:spacing w:after="0" w:line="23" w:lineRule="exact"/>
        <w:rPr>
          <w:rFonts w:ascii="Arial" w:cs="Arial" w:eastAsia="Arial" w:hAnsi="Arial"/>
          <w:sz w:val="18"/>
          <w:szCs w:val="18"/>
          <w:color w:val="auto"/>
        </w:rPr>
      </w:pPr>
    </w:p>
    <w:p>
      <w:pPr>
        <w:ind w:left="1960" w:right="7680"/>
        <w:spacing w:after="0" w:line="250" w:lineRule="auto"/>
        <w:rPr>
          <w:rFonts w:ascii="Arial" w:cs="Arial" w:eastAsia="Arial" w:hAnsi="Arial"/>
          <w:sz w:val="18"/>
          <w:szCs w:val="18"/>
          <w:color w:val="auto"/>
        </w:rPr>
      </w:pPr>
      <w:r>
        <w:rPr>
          <w:rFonts w:ascii="Arial" w:cs="Arial" w:eastAsia="Arial" w:hAnsi="Arial"/>
          <w:sz w:val="18"/>
          <w:szCs w:val="18"/>
          <w:color w:val="auto"/>
        </w:rPr>
        <w:t>2435 Commerce Avenue Bldg. 2200</w:t>
      </w:r>
    </w:p>
    <w:p>
      <w:pPr>
        <w:ind w:left="1960" w:right="7380"/>
        <w:spacing w:after="0" w:line="302" w:lineRule="auto"/>
        <w:rPr>
          <w:rFonts w:ascii="Arial" w:cs="Arial" w:eastAsia="Arial" w:hAnsi="Arial"/>
          <w:sz w:val="18"/>
          <w:szCs w:val="18"/>
          <w:color w:val="auto"/>
        </w:rPr>
      </w:pPr>
      <w:r>
        <w:rPr>
          <w:rFonts w:ascii="Arial" w:cs="Arial" w:eastAsia="Arial" w:hAnsi="Arial"/>
          <w:sz w:val="16"/>
          <w:szCs w:val="16"/>
          <w:color w:val="auto"/>
        </w:rPr>
        <w:t>Duluth, Georgia 30096-4980 Attention: General Counsel Facsimile: (770) 822-2029</w:t>
      </w:r>
    </w:p>
    <w:p>
      <w:pPr>
        <w:spacing w:after="0" w:line="15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1960" w:right="7060"/>
        <w:spacing w:after="0" w:line="258" w:lineRule="auto"/>
        <w:rPr>
          <w:rFonts w:ascii="Arial" w:cs="Arial" w:eastAsia="Arial" w:hAnsi="Arial"/>
          <w:sz w:val="18"/>
          <w:szCs w:val="18"/>
          <w:color w:val="auto"/>
        </w:rPr>
      </w:pPr>
      <w:r>
        <w:rPr>
          <w:rFonts w:ascii="Arial" w:cs="Arial" w:eastAsia="Arial" w:hAnsi="Arial"/>
          <w:sz w:val="18"/>
          <w:szCs w:val="18"/>
          <w:color w:val="auto"/>
        </w:rPr>
        <w:t>Simpson Thacher &amp; Bartlett LLP 425 Lexington Avenue</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New York, NY 10017</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Attention: Joseph H. Kaufman, Esq.</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Fax: (212) 455-2502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5" w:name="page56"/>
    <w:bookmarkEnd w:id="55"/>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to the Berkshire Investor,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c/o Berkshire Partners LLC</w:t>
      </w:r>
    </w:p>
    <w:p>
      <w:pPr>
        <w:spacing w:after="0" w:line="23" w:lineRule="exact"/>
        <w:rPr>
          <w:rFonts w:ascii="Arial" w:cs="Arial" w:eastAsia="Arial" w:hAnsi="Arial"/>
          <w:sz w:val="18"/>
          <w:szCs w:val="18"/>
          <w:color w:val="auto"/>
        </w:rPr>
      </w:pPr>
    </w:p>
    <w:p>
      <w:pPr>
        <w:ind w:left="1960" w:right="7100"/>
        <w:spacing w:after="0" w:line="250" w:lineRule="auto"/>
        <w:rPr>
          <w:rFonts w:ascii="Arial" w:cs="Arial" w:eastAsia="Arial" w:hAnsi="Arial"/>
          <w:sz w:val="18"/>
          <w:szCs w:val="18"/>
          <w:color w:val="auto"/>
        </w:rPr>
      </w:pPr>
      <w:r>
        <w:rPr>
          <w:rFonts w:ascii="Arial" w:cs="Arial" w:eastAsia="Arial" w:hAnsi="Arial"/>
          <w:sz w:val="18"/>
          <w:szCs w:val="18"/>
          <w:color w:val="auto"/>
        </w:rPr>
        <w:t>200 Clarendon Street, 35th Floor Boston, MA 02116</w:t>
      </w:r>
    </w:p>
    <w:p>
      <w:pPr>
        <w:ind w:left="1960"/>
        <w:spacing w:after="0"/>
        <w:rPr>
          <w:rFonts w:ascii="Arial" w:cs="Arial" w:eastAsia="Arial" w:hAnsi="Arial"/>
          <w:sz w:val="18"/>
          <w:szCs w:val="18"/>
          <w:color w:val="auto"/>
        </w:rPr>
      </w:pPr>
      <w:r>
        <w:rPr>
          <w:rFonts w:ascii="Arial" w:cs="Arial" w:eastAsia="Arial" w:hAnsi="Arial"/>
          <w:sz w:val="18"/>
          <w:szCs w:val="18"/>
          <w:color w:val="auto"/>
        </w:rPr>
        <w:t>Attention: Sharlyn C. Heslam, General Counsel</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Facsimile: (617) 316-6262</w:t>
      </w:r>
    </w:p>
    <w:p>
      <w:pPr>
        <w:spacing w:after="0" w:line="21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Ropes &amp; Gray LLP</w:t>
      </w:r>
    </w:p>
    <w:p>
      <w:pPr>
        <w:spacing w:after="0" w:line="23" w:lineRule="exact"/>
        <w:rPr>
          <w:rFonts w:ascii="Arial" w:cs="Arial" w:eastAsia="Arial" w:hAnsi="Arial"/>
          <w:sz w:val="18"/>
          <w:szCs w:val="18"/>
          <w:color w:val="auto"/>
        </w:rPr>
      </w:pPr>
    </w:p>
    <w:p>
      <w:pPr>
        <w:ind w:left="1960" w:right="6720"/>
        <w:spacing w:after="0" w:line="250" w:lineRule="auto"/>
        <w:rPr>
          <w:rFonts w:ascii="Arial" w:cs="Arial" w:eastAsia="Arial" w:hAnsi="Arial"/>
          <w:sz w:val="18"/>
          <w:szCs w:val="18"/>
          <w:color w:val="auto"/>
        </w:rPr>
      </w:pPr>
      <w:r>
        <w:rPr>
          <w:rFonts w:ascii="Arial" w:cs="Arial" w:eastAsia="Arial" w:hAnsi="Arial"/>
          <w:sz w:val="18"/>
          <w:szCs w:val="18"/>
          <w:color w:val="auto"/>
        </w:rPr>
        <w:t>Prudential Tower, 800 Boylston Street Boston, MA 02199-3600</w:t>
      </w:r>
    </w:p>
    <w:p>
      <w:pPr>
        <w:ind w:left="1960"/>
        <w:spacing w:after="0"/>
        <w:rPr>
          <w:rFonts w:ascii="Arial" w:cs="Arial" w:eastAsia="Arial" w:hAnsi="Arial"/>
          <w:sz w:val="18"/>
          <w:szCs w:val="18"/>
          <w:color w:val="auto"/>
        </w:rPr>
      </w:pPr>
      <w:r>
        <w:rPr>
          <w:rFonts w:ascii="Arial" w:cs="Arial" w:eastAsia="Arial" w:hAnsi="Arial"/>
          <w:sz w:val="18"/>
          <w:szCs w:val="18"/>
          <w:color w:val="auto"/>
        </w:rPr>
        <w:t>Attn: Craig E. Marcus</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Facsimile: (617) 235-0514</w:t>
      </w:r>
    </w:p>
    <w:p>
      <w:pPr>
        <w:spacing w:after="0" w:line="237" w:lineRule="exact"/>
        <w:rPr>
          <w:rFonts w:ascii="Arial" w:cs="Arial" w:eastAsia="Arial" w:hAnsi="Arial"/>
          <w:sz w:val="18"/>
          <w:szCs w:val="18"/>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to the KKR Investor,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KKR Vision Aggregator L.P.</w:t>
      </w:r>
    </w:p>
    <w:p>
      <w:pPr>
        <w:spacing w:after="0" w:line="23" w:lineRule="exact"/>
        <w:rPr>
          <w:rFonts w:ascii="Arial" w:cs="Arial" w:eastAsia="Arial" w:hAnsi="Arial"/>
          <w:sz w:val="18"/>
          <w:szCs w:val="18"/>
          <w:color w:val="auto"/>
        </w:rPr>
      </w:pPr>
    </w:p>
    <w:p>
      <w:pPr>
        <w:ind w:left="1960" w:right="6580"/>
        <w:spacing w:after="0" w:line="250" w:lineRule="auto"/>
        <w:rPr>
          <w:rFonts w:ascii="Arial" w:cs="Arial" w:eastAsia="Arial" w:hAnsi="Arial"/>
          <w:sz w:val="18"/>
          <w:szCs w:val="18"/>
          <w:color w:val="auto"/>
        </w:rPr>
      </w:pPr>
      <w:r>
        <w:rPr>
          <w:rFonts w:ascii="Arial" w:cs="Arial" w:eastAsia="Arial" w:hAnsi="Arial"/>
          <w:sz w:val="18"/>
          <w:szCs w:val="18"/>
          <w:color w:val="auto"/>
        </w:rPr>
        <w:t>c/o Kohlberg Kravis Roberts &amp; Co. L.P. 9 West 57th Street</w:t>
      </w:r>
    </w:p>
    <w:p>
      <w:pPr>
        <w:ind w:left="1960" w:right="7400"/>
        <w:spacing w:after="0" w:line="302" w:lineRule="auto"/>
        <w:rPr>
          <w:rFonts w:ascii="Arial" w:cs="Arial" w:eastAsia="Arial" w:hAnsi="Arial"/>
          <w:sz w:val="18"/>
          <w:szCs w:val="18"/>
          <w:color w:val="auto"/>
        </w:rPr>
      </w:pPr>
      <w:r>
        <w:rPr>
          <w:rFonts w:ascii="Arial" w:cs="Arial" w:eastAsia="Arial" w:hAnsi="Arial"/>
          <w:sz w:val="16"/>
          <w:szCs w:val="16"/>
          <w:color w:val="auto"/>
        </w:rPr>
        <w:t>New York, New York 10019 Attention: Nate Taylor Facsimile: (212) 750-0003</w:t>
      </w:r>
    </w:p>
    <w:p>
      <w:pPr>
        <w:spacing w:after="0" w:line="18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both"/>
        <w:ind w:firstLine="1297"/>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w:t>
      </w:r>
    </w:p>
    <w:p>
      <w:pPr>
        <w:spacing w:after="0" w:line="24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Restrictions on Other Agreements; Bylaws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4" w:lineRule="auto"/>
        <w:tabs>
          <w:tab w:leader="none" w:pos="14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Following the date hereof, no Stockholder or any of its Permitted Transferees shall enter into or agree to be bound by any stockholder agreements or arrangements of any kind with any Person with respect to any Equity Securities except pursuant to the agreements specifically contemplated herein and the Registration Rights Agreement.</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3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of this Agreement shall be controlling if any such provisions or the operation thereof conflict with the provisions of the Company’s Bylaws. Each of the parties covenants and agrees to vote their Equity Securities and to take any other action reasonably requested by the Company or any Stockholder to amend the Company’s Bylaws so as to avoid any conflict with the provisions hereof.</w:t>
      </w:r>
    </w:p>
    <w:p>
      <w:pPr>
        <w:spacing w:after="0" w:line="23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Delays or Omissions</w:t>
      </w:r>
      <w:r>
        <w:rPr>
          <w:rFonts w:ascii="Arial" w:cs="Arial" w:eastAsia="Arial" w:hAnsi="Arial"/>
          <w:sz w:val="18"/>
          <w:szCs w:val="18"/>
          <w:color w:val="auto"/>
          <w:highlight w:val="white"/>
        </w:rPr>
        <w:t>. It is agreed that no delay or omission to exercise any right, power or remedy accruing to any</w:t>
      </w:r>
      <w:r>
        <w:rPr>
          <w:rFonts w:ascii="Arial" w:cs="Arial" w:eastAsia="Arial" w:hAnsi="Arial"/>
          <w:sz w:val="18"/>
          <w:szCs w:val="18"/>
          <w:color w:val="auto"/>
        </w:rPr>
        <w:t xml:space="preserve"> 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the part of any party hereto of any breach, default or noncompliance under this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243" w:lineRule="exact"/>
        <w:rPr>
          <w:sz w:val="20"/>
          <w:szCs w:val="20"/>
          <w:color w:val="auto"/>
        </w:rPr>
      </w:pPr>
    </w:p>
    <w:p>
      <w:pPr>
        <w:ind w:left="1300"/>
        <w:spacing w:after="0"/>
        <w:tabs>
          <w:tab w:leader="none" w:pos="292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279" w:lineRule="exact"/>
        <w:rPr>
          <w:sz w:val="20"/>
          <w:szCs w:val="20"/>
          <w:color w:val="auto"/>
        </w:rPr>
      </w:pPr>
    </w:p>
    <w:p>
      <w:pPr>
        <w:ind w:firstLine="656"/>
        <w:spacing w:after="0" w:line="277" w:lineRule="auto"/>
        <w:tabs>
          <w:tab w:leader="none" w:pos="14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Delaware, applicable to contracts executed in and to be performed entirely within that State, without giving effect to principles or rules of conflict of laws.</w:t>
      </w:r>
    </w:p>
    <w:p>
      <w:pPr>
        <w:spacing w:after="0" w:line="224" w:lineRule="exact"/>
        <w:rPr>
          <w:rFonts w:ascii="Arial" w:cs="Arial" w:eastAsia="Arial" w:hAnsi="Arial"/>
          <w:sz w:val="18"/>
          <w:szCs w:val="18"/>
          <w:color w:val="auto"/>
        </w:rPr>
      </w:pPr>
    </w:p>
    <w:p>
      <w:pPr>
        <w:jc w:val="both"/>
        <w:ind w:firstLine="656"/>
        <w:spacing w:after="0" w:line="293" w:lineRule="auto"/>
        <w:tabs>
          <w:tab w:leader="none" w:pos="14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In any judicial proceeding involving any dispute, controversy or claim arising out of or relating to this Agreement, each of the parties unconditionally accepts the jurisdiction and venue of the Delaware Court of Chancery or, if the Delaware Court of Chancery does not have subject matter jurisdiction over this matter, the Superior Court of the State of Delaware (Complex Commercial Division) or, if jurisdiction over the matter is vested exclusively in federal courts, the United States District Court for the District of Delaware, and the appellate courts to which orders and judgments thereof may be appealed. In any such judicial proceeding, the parties agree that in addition to any method for the service of process permitted or required by such courts, to the fullest extent permitted by Law, service of process may be made by delivery provided pursuant to the directions in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7" w:name="page58"/>
    <w:bookmarkEnd w:id="57"/>
    <w:p>
      <w:pPr>
        <w:jc w:val="both"/>
        <w:ind w:firstLine="656"/>
        <w:spacing w:after="0" w:line="264" w:lineRule="auto"/>
        <w:tabs>
          <w:tab w:leader="none" w:pos="13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 PARTIES HEREBY WAIVES TO THE FULLEST EXTENT PERMITTED BY APPLICABLE LAW TRIAL BY JURY IN ANY JUDICIAL PROCEEDING INVOLVING ANY DISPUTE, CONTROVERSY OR CLAIM ARISING OUT OF OR RELATING TO THIS AGREEMENT.</w:t>
      </w:r>
    </w:p>
    <w:p>
      <w:pPr>
        <w:spacing w:after="0" w:line="23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242"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Enforcement</w:t>
      </w:r>
      <w:r>
        <w:rPr>
          <w:rFonts w:ascii="Arial" w:cs="Arial" w:eastAsia="Arial" w:hAnsi="Arial"/>
          <w:sz w:val="17"/>
          <w:szCs w:val="17"/>
          <w:color w:val="auto"/>
          <w:highlight w:val="white"/>
        </w:rPr>
        <w:t>. Each party hereto acknowledges that money damages would not be an adequate remedy in the event</w:t>
      </w:r>
      <w:r>
        <w:rPr>
          <w:rFonts w:ascii="Arial" w:cs="Arial" w:eastAsia="Arial" w:hAnsi="Arial"/>
          <w:sz w:val="17"/>
          <w:szCs w:val="17"/>
          <w:color w:val="auto"/>
        </w:rPr>
        <w:t xml:space="preserve"> that any of the covenants or agreements in this Agreement are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22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No Recourse</w:t>
      </w:r>
      <w:r>
        <w:rPr>
          <w:rFonts w:ascii="Arial" w:cs="Arial" w:eastAsia="Arial" w:hAnsi="Arial"/>
          <w:sz w:val="18"/>
          <w:szCs w:val="18"/>
          <w:color w:val="auto"/>
        </w:rPr>
        <w:t>. This Agreement may only be enforced against, and any claims or cause of action that may be based upon, arise out of or relate to this Agreement, or the negotiation, execution or performance of this Agreement, may be made only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w:t>
      </w:r>
    </w:p>
    <w:p>
      <w:pPr>
        <w:spacing w:after="0" w:line="24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w:t>
      </w:r>
      <w:r>
        <w:rPr>
          <w:rFonts w:ascii="Arial" w:cs="Arial" w:eastAsia="Arial" w:hAnsi="Arial"/>
          <w:sz w:val="18"/>
          <w:szCs w:val="18"/>
          <w:u w:val="single" w:color="auto"/>
          <w:color w:val="auto"/>
          <w:highlight w:val="white"/>
        </w:rPr>
        <w:t>Facsimile Signatures</w:t>
      </w:r>
      <w:r>
        <w:rPr>
          <w:rFonts w:ascii="Arial" w:cs="Arial" w:eastAsia="Arial" w:hAnsi="Arial"/>
          <w:sz w:val="18"/>
          <w:szCs w:val="18"/>
          <w:color w:val="auto"/>
          <w:highlight w:val="white"/>
        </w:rPr>
        <w:t>. This Agreement may be executed in any number of counterparts, each of which</w:t>
      </w:r>
      <w:r>
        <w:rPr>
          <w:rFonts w:ascii="Arial" w:cs="Arial" w:eastAsia="Arial" w:hAnsi="Arial"/>
          <w:sz w:val="18"/>
          <w:szCs w:val="18"/>
          <w:color w:val="auto"/>
        </w:rPr>
        <w:t xml:space="preserve"> shall be an original, but all of which together shall constitute one instrument. This Agreement may be executed by facsimile signature(s).</w:t>
      </w:r>
    </w:p>
    <w:p>
      <w:pPr>
        <w:spacing w:after="0" w:line="224" w:lineRule="exact"/>
        <w:rPr>
          <w:sz w:val="20"/>
          <w:szCs w:val="20"/>
          <w:color w:val="auto"/>
        </w:rPr>
      </w:pPr>
    </w:p>
    <w:p>
      <w:pPr>
        <w:ind w:left="1300"/>
        <w:spacing w:after="0"/>
        <w:tabs>
          <w:tab w:leader="none" w:pos="294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become effective upon the Closing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8" w:name="page59"/>
    <w:bookmarkEnd w:id="58"/>
    <w:p>
      <w:pPr>
        <w:ind w:firstLine="648"/>
        <w:spacing w:after="0" w:line="277" w:lineRule="auto"/>
        <w:rPr>
          <w:sz w:val="20"/>
          <w:szCs w:val="20"/>
          <w:color w:val="auto"/>
        </w:rPr>
      </w:pPr>
      <w:r>
        <w:rPr>
          <w:rFonts w:ascii="Arial" w:cs="Arial" w:eastAsia="Arial" w:hAnsi="Arial"/>
          <w:sz w:val="18"/>
          <w:szCs w:val="18"/>
          <w:color w:val="auto"/>
        </w:rPr>
        <w:t>IN WITNESS WHEREOF, the parties hereto have executed this Amended and Restated Stockholders’ Agreement as of the date set forth in the first paragraph hereof.</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Secretary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National Vision Holdings, Inc. Amended and Restated Stockholders’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ind w:left="4520"/>
        <w:spacing w:after="0"/>
        <w:rPr>
          <w:sz w:val="20"/>
          <w:szCs w:val="20"/>
          <w:color w:val="auto"/>
        </w:rPr>
      </w:pPr>
      <w:r>
        <w:rPr>
          <w:rFonts w:ascii="Arial" w:cs="Arial" w:eastAsia="Arial" w:hAnsi="Arial"/>
          <w:sz w:val="18"/>
          <w:szCs w:val="18"/>
          <w:b w:val="1"/>
          <w:bCs w:val="1"/>
          <w:color w:val="auto"/>
        </w:rPr>
        <w:t>KKR VISION AGGREGATOR L.P.</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KKR VISION AGGREGATOR GP LLC, its General Partner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Nate Taylor</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Nate Taylor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Member</w:t>
            </w:r>
          </w:p>
        </w:tc>
      </w:tr>
    </w:tbl>
    <w:p>
      <w:pPr>
        <w:spacing w:after="0" w:line="200" w:lineRule="exact"/>
        <w:rPr>
          <w:sz w:val="20"/>
          <w:szCs w:val="20"/>
          <w:color w:val="auto"/>
        </w:rPr>
      </w:pPr>
    </w:p>
    <w:p>
      <w:pPr>
        <w:spacing w:after="0" w:line="2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National Vision Holdings, Inc. Amended and Restated Stockholders’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0" w:name="page61"/>
    <w:bookmarkEnd w:id="60"/>
    <w:p>
      <w:pPr>
        <w:ind w:left="4520"/>
        <w:spacing w:after="0"/>
        <w:rPr>
          <w:sz w:val="20"/>
          <w:szCs w:val="20"/>
          <w:color w:val="auto"/>
        </w:rPr>
      </w:pPr>
      <w:r>
        <w:rPr>
          <w:rFonts w:ascii="Arial" w:cs="Arial" w:eastAsia="Arial" w:hAnsi="Arial"/>
          <w:sz w:val="18"/>
          <w:szCs w:val="18"/>
          <w:b w:val="1"/>
          <w:bCs w:val="1"/>
          <w:color w:val="auto"/>
        </w:rPr>
        <w:t>BERKSHIRE FUND VI, LIMITED PARTNERSHIP</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Sixth Berkshire Associates LLC, its general partner</w:t>
            </w:r>
          </w:p>
        </w:tc>
      </w:tr>
      <w:tr>
        <w:trPr>
          <w:trHeight w:val="65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 Randolph Peeler</w:t>
            </w:r>
          </w:p>
        </w:tc>
      </w:tr>
      <w:tr>
        <w:trPr>
          <w:trHeight w:val="202"/>
        </w:trPr>
        <w:tc>
          <w:tcPr>
            <w:tcW w:w="560" w:type="dxa"/>
            <w:vAlign w:val="bottom"/>
          </w:tcPr>
          <w:p>
            <w:pPr>
              <w:spacing w:after="0"/>
              <w:rPr>
                <w:sz w:val="17"/>
                <w:szCs w:val="17"/>
                <w:color w:val="auto"/>
              </w:rPr>
            </w:pPr>
          </w:p>
        </w:tc>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Name: D. Randolph Peeler</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Managing Director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BERKSHIRE INVESTORS LLC</w:t>
            </w:r>
          </w:p>
        </w:tc>
      </w:tr>
      <w:tr>
        <w:trPr>
          <w:trHeight w:val="65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 Randolph Peeler</w:t>
            </w:r>
          </w:p>
        </w:tc>
      </w:tr>
      <w:tr>
        <w:trPr>
          <w:trHeight w:val="202"/>
        </w:trPr>
        <w:tc>
          <w:tcPr>
            <w:tcW w:w="560" w:type="dxa"/>
            <w:vAlign w:val="bottom"/>
          </w:tcPr>
          <w:p>
            <w:pPr>
              <w:spacing w:after="0"/>
              <w:rPr>
                <w:sz w:val="17"/>
                <w:szCs w:val="17"/>
                <w:color w:val="auto"/>
              </w:rPr>
            </w:pPr>
          </w:p>
        </w:tc>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Name: D. Randolph Peeler</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Managing Director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BERKSHIRE INVESTORS III LLC</w:t>
            </w:r>
          </w:p>
        </w:tc>
      </w:tr>
      <w:tr>
        <w:trPr>
          <w:trHeight w:val="65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 Randolph Peeler</w:t>
            </w:r>
          </w:p>
        </w:tc>
      </w:tr>
      <w:tr>
        <w:trPr>
          <w:trHeight w:val="202"/>
        </w:trPr>
        <w:tc>
          <w:tcPr>
            <w:tcW w:w="560" w:type="dxa"/>
            <w:vAlign w:val="bottom"/>
          </w:tcPr>
          <w:p>
            <w:pPr>
              <w:spacing w:after="0"/>
              <w:rPr>
                <w:sz w:val="17"/>
                <w:szCs w:val="17"/>
                <w:color w:val="auto"/>
              </w:rPr>
            </w:pPr>
          </w:p>
        </w:tc>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Name: D. Randolph Peeler</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National Vision Holdings, Inc. Amended and Restated Stockholders’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Pursuant to the Amended and Restated Stockholders’ Agreement, dated as of [_________], 2017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among</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National Vision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the stockholders of the Company whose name appears on the signature pages listed therein (each, a “</w:t>
      </w:r>
      <w:r>
        <w:rPr>
          <w:rFonts w:ascii="Arial" w:cs="Arial" w:eastAsia="Arial" w:hAnsi="Arial"/>
          <w:sz w:val="16"/>
          <w:szCs w:val="16"/>
          <w:u w:val="single" w:color="auto"/>
          <w:color w:val="auto"/>
        </w:rPr>
        <w:t>Stockholder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Stockholders</w:t>
      </w:r>
      <w:r>
        <w:rPr>
          <w:rFonts w:ascii="Arial" w:cs="Arial" w:eastAsia="Arial" w:hAnsi="Arial"/>
          <w:sz w:val="16"/>
          <w:szCs w:val="16"/>
          <w:color w:val="auto"/>
        </w:rPr>
        <w:t>”), _________, (the “</w:t>
      </w:r>
      <w:r>
        <w:rPr>
          <w:rFonts w:ascii="Arial" w:cs="Arial" w:eastAsia="Arial" w:hAnsi="Arial"/>
          <w:sz w:val="16"/>
          <w:szCs w:val="16"/>
          <w:u w:val="single" w:color="auto"/>
          <w:color w:val="auto"/>
        </w:rPr>
        <w:t>Transferor</w:t>
      </w:r>
      <w:r>
        <w:rPr>
          <w:rFonts w:ascii="Arial" w:cs="Arial" w:eastAsia="Arial" w:hAnsi="Arial"/>
          <w:sz w:val="16"/>
          <w:szCs w:val="16"/>
          <w:color w:val="auto"/>
        </w:rPr>
        <w:t>”) hereby assigns to the undersigned the rights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 may be assigned thereunder, and the undersigned hereby agrees that, having acquired Equity Securities as permitted by the terms of the Stockholders’ Agreement, the undersigned shall assume the obligations of the Transferor under the Stockholders’ Agreement. Capitalized terms used but not defined herein shall have the meanings assigned to them in the Stockholders’ Agreement.</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Listed below is information regarding the Equity Securities: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 of Shares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Common Stock</w:t>
      </w:r>
    </w:p>
    <w:p>
      <w:pPr>
        <w:spacing w:after="0" w:line="23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ind w:left="1300"/>
        <w:spacing w:after="0"/>
        <w:rPr>
          <w:sz w:val="20"/>
          <w:szCs w:val="20"/>
          <w:color w:val="auto"/>
        </w:rPr>
      </w:pPr>
      <w:r>
        <w:rPr>
          <w:rFonts w:ascii="Arial" w:cs="Arial" w:eastAsia="Arial" w:hAnsi="Arial"/>
          <w:sz w:val="16"/>
          <w:szCs w:val="16"/>
          <w:color w:val="auto"/>
        </w:rPr>
        <w:t>IN WITNESS WHEREOF, the undersigned has executed this Assumption Agreement as of __________ ___, ________.</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434975</wp:posOffset>
            </wp:positionV>
            <wp:extent cx="36188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434975</wp:posOffset>
            </wp:positionV>
            <wp:extent cx="36188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AND AMENDMENT AGREEMENT</w:t>
      </w:r>
    </w:p>
    <w:p>
      <w:pPr>
        <w:spacing w:after="0" w:line="256"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JOINDER AND AMENDMENT AGREEMENT, dated as of October 31, 2017 (this “</w:t>
      </w:r>
      <w:r>
        <w:rPr>
          <w:rFonts w:ascii="Arial" w:cs="Arial" w:eastAsia="Arial" w:hAnsi="Arial"/>
          <w:sz w:val="17"/>
          <w:szCs w:val="17"/>
          <w:u w:val="single" w:color="auto"/>
          <w:color w:val="auto"/>
        </w:rPr>
        <w:t>Agreement</w:t>
      </w:r>
      <w:r>
        <w:rPr>
          <w:rFonts w:ascii="Arial" w:cs="Arial" w:eastAsia="Arial" w:hAnsi="Arial"/>
          <w:sz w:val="17"/>
          <w:szCs w:val="17"/>
          <w:color w:val="auto"/>
        </w:rPr>
        <w:t>” or “</w:t>
      </w:r>
      <w:r>
        <w:rPr>
          <w:rFonts w:ascii="Arial" w:cs="Arial" w:eastAsia="Arial" w:hAnsi="Arial"/>
          <w:sz w:val="17"/>
          <w:szCs w:val="17"/>
          <w:u w:val="single" w:color="auto"/>
          <w:color w:val="auto"/>
        </w:rPr>
        <w:t>Joinder and 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the Borrower (as defined below), the Guarantors, each Revolving Credit Lender (in each case as a New Revolving Loan Lender, an Extending Lender and/or an Exiting Lender, as applicable), Goldman Sachs Bank USA, as Administrative Agent, Collateral Agent, Swingline Lender and a Letter of Credit Issuer, Bank of America, N.A., as a Letter of Credit Issuer and Citibank, N.A., as a Letter of Credit Issuer. Unless otherwise indicated, capitalized terms used but not defined herein having the meanings provided in the Credit Agreement (as defined below).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reference is hereby made to the First Lien Credit Agreement, dated as of March 13, 2014 (as amended, restated, supplemented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or otherwise modified from time to time, including pursuant to the Joinder and Amendment Agreement, dated as of May 29, 2015, and the Joinder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dated as of February 3, 2017,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Nautilus Acquisition Holdings, Inc. (“</w:t>
      </w:r>
      <w:r>
        <w:rPr>
          <w:rFonts w:ascii="Arial" w:cs="Arial" w:eastAsia="Arial" w:hAnsi="Arial"/>
          <w:sz w:val="17"/>
          <w:szCs w:val="17"/>
          <w:u w:val="single" w:color="auto"/>
          <w:color w:val="auto"/>
        </w:rPr>
        <w:t>Holdings</w:t>
      </w:r>
      <w:r>
        <w:rPr>
          <w:rFonts w:ascii="Arial" w:cs="Arial" w:eastAsia="Arial" w:hAnsi="Arial"/>
          <w:sz w:val="17"/>
          <w:szCs w:val="17"/>
          <w:color w:val="auto"/>
        </w:rPr>
        <w:t>”), National Vision, Inc.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or other financial institutions or entities from time to time party thereto and Goldman Sachs Bank USA, as Administrative Agent,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Collateral Agent and Swingline Lender;</w:t>
      </w:r>
    </w:p>
    <w:p>
      <w:pPr>
        <w:spacing w:after="0" w:line="234" w:lineRule="exact"/>
        <w:rPr>
          <w:sz w:val="20"/>
          <w:szCs w:val="20"/>
          <w:color w:val="auto"/>
        </w:rPr>
      </w:pPr>
    </w:p>
    <w:p>
      <w:pPr>
        <w:ind w:right="340" w:firstLine="1297"/>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subject to the terms and conditions of the Credit Agreement, the Borrower may establish New Revolving Credit</w:t>
      </w:r>
      <w:r>
        <w:rPr>
          <w:rFonts w:ascii="Arial" w:cs="Arial" w:eastAsia="Arial" w:hAnsi="Arial"/>
          <w:sz w:val="17"/>
          <w:szCs w:val="17"/>
          <w:b w:val="1"/>
          <w:bCs w:val="1"/>
          <w:color w:val="auto"/>
        </w:rPr>
        <w:t xml:space="preserve"> </w:t>
      </w:r>
      <w:r>
        <w:rPr>
          <w:rFonts w:ascii="Arial" w:cs="Arial" w:eastAsia="Arial" w:hAnsi="Arial"/>
          <w:sz w:val="17"/>
          <w:szCs w:val="17"/>
          <w:color w:val="auto"/>
        </w:rPr>
        <w:t>Commitments and Extended Revolving Credit Commitments (each as defined in the Credit Agreement) by, among other things, entering into one or more Joinder Agreements with New Revolving Loan Lenders and amendments to the Credit Agreement with Extending Lenders, as applicable;</w:t>
      </w:r>
    </w:p>
    <w:p>
      <w:pPr>
        <w:spacing w:after="0" w:line="185"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has notified the Administrative Agent that it is requesting, pursuant to Section 2.14 of the Credit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clause (i) of the definition of Maximum Incremental Facilities Amount, (i) the establishment of New Revolving Credit Commitments (as defined in the Credit Agreement) in an aggregate principal amount of $25,000,000 (the “</w:t>
      </w:r>
      <w:r>
        <w:rPr>
          <w:rFonts w:ascii="Arial" w:cs="Arial" w:eastAsia="Arial" w:hAnsi="Arial"/>
          <w:sz w:val="16"/>
          <w:szCs w:val="16"/>
          <w:u w:val="single" w:color="auto"/>
          <w:color w:val="auto"/>
        </w:rPr>
        <w:t>New Revolving Credit Commitments</w:t>
      </w:r>
      <w:r>
        <w:rPr>
          <w:rFonts w:ascii="Arial" w:cs="Arial" w:eastAsia="Arial" w:hAnsi="Arial"/>
          <w:sz w:val="16"/>
          <w:szCs w:val="16"/>
          <w:color w:val="auto"/>
        </w:rPr>
        <w:t>”) as an increase to the aggregate principal amount of Initial Revolving Credit Commitments outstanding under the Credit Agreement immediately prior to the effectiveness of this Joinder and Amendment Agreement (the “</w:t>
      </w:r>
      <w:r>
        <w:rPr>
          <w:rFonts w:ascii="Arial" w:cs="Arial" w:eastAsia="Arial" w:hAnsi="Arial"/>
          <w:sz w:val="16"/>
          <w:szCs w:val="16"/>
          <w:u w:val="single" w:color="auto"/>
          <w:color w:val="auto"/>
        </w:rPr>
        <w:t>Existing Revolving Credit Commitments</w:t>
      </w:r>
      <w:r>
        <w:rPr>
          <w:rFonts w:ascii="Arial" w:cs="Arial" w:eastAsia="Arial" w:hAnsi="Arial"/>
          <w:sz w:val="16"/>
          <w:szCs w:val="16"/>
          <w:color w:val="auto"/>
        </w:rPr>
        <w:t>”) and (ii) the establishment of Extended Revolving Credit Commitments in respect of the Revolving Credit Commitments outstanding under the Credit Agreement (inclusive of the New Revolving Credit Commitments) in an aggregate principal amount of $100,000,000 (the “</w:t>
      </w:r>
      <w:r>
        <w:rPr>
          <w:rFonts w:ascii="Arial" w:cs="Arial" w:eastAsia="Arial" w:hAnsi="Arial"/>
          <w:sz w:val="16"/>
          <w:szCs w:val="16"/>
          <w:u w:val="single" w:color="auto"/>
          <w:color w:val="auto"/>
        </w:rPr>
        <w:t>Extended Revolving Credit Commitments</w:t>
      </w:r>
      <w:r>
        <w:rPr>
          <w:rFonts w:ascii="Arial" w:cs="Arial" w:eastAsia="Arial" w:hAnsi="Arial"/>
          <w:sz w:val="16"/>
          <w:szCs w:val="16"/>
          <w:color w:val="auto"/>
        </w:rPr>
        <w:t>”) maturing (x) if the Springing Maturity Condition (as defined below) does not apply, on October 15, 2022, and (y) if the Springing Maturity Condition does apply, on the Springing Maturity Date (as defined below);</w:t>
      </w:r>
    </w:p>
    <w:p>
      <w:pPr>
        <w:spacing w:after="0" w:line="187" w:lineRule="exact"/>
        <w:rPr>
          <w:sz w:val="20"/>
          <w:szCs w:val="20"/>
          <w:color w:val="auto"/>
        </w:rPr>
      </w:pPr>
    </w:p>
    <w:p>
      <w:pPr>
        <w:ind w:right="560" w:firstLine="1297"/>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each Revolving Credit Lender party hereto (other than an Exiting Lender) has agreed to provide New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and/or Extended Revolving Credit Commitments on the terms and subject to the conditions set forth in this Joinder and Amendment Agreement;</w:t>
      </w:r>
    </w:p>
    <w:p>
      <w:pPr>
        <w:spacing w:after="0" w:line="203"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giving effect to this Joinder and Amendment Agreement the aggregate principal amount of Initial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(which shall be deemed to include the New Revolving Credit Commitments) outstanding under the Credit Agreement is $100,000,000 and the maturity date thereof will be (x) if the Springing Maturity Condition does not apply, October 15, 2022 and (y) if the Springing Maturity Condition does apply, the Springing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4" w:name="page65"/>
    <w:bookmarkEnd w:id="64"/>
    <w:p>
      <w:pPr>
        <w:ind w:right="180" w:firstLine="1297"/>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each Revolving Credit Lender party hereto has agreed to (x) assign all or a portion of its Existing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or (y) accept as an assignee Initial Revolving Credit Commitments (and provide New Revolving Credit Commitments, if applicable), in each case, as set forth on Schedule II hereto such that after giving effect to the assignments contemplated hereby (and the establishment of the New Revolving Credit Commitments) each Revolving Credit Lender will hold Initial Revolving Credit Commitments in the amounts set forth on Schedule II hereto;</w:t>
      </w:r>
    </w:p>
    <w:p>
      <w:pPr>
        <w:spacing w:after="0" w:line="178" w:lineRule="exact"/>
        <w:rPr>
          <w:sz w:val="20"/>
          <w:szCs w:val="20"/>
          <w:color w:val="auto"/>
        </w:rPr>
      </w:pPr>
    </w:p>
    <w:p>
      <w:pPr>
        <w:jc w:val="both"/>
        <w:ind w:right="100" w:firstLine="1297"/>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assignments contemplated herein and set forth on Schedule II hereto shall be subject to the terms and conditions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Joinder and Amendment Agreement and shall be effected pursuant to and in accordance with Section 13.6(b) of the Credit Agreement;</w:t>
      </w:r>
    </w:p>
    <w:p>
      <w:pPr>
        <w:spacing w:after="0" w:line="165" w:lineRule="exact"/>
        <w:rPr>
          <w:sz w:val="20"/>
          <w:szCs w:val="20"/>
          <w:color w:val="auto"/>
        </w:rPr>
      </w:pPr>
    </w:p>
    <w:p>
      <w:pPr>
        <w:jc w:val="both"/>
        <w:ind w:right="120"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notified the Administrative Agent that it is replacing Morgan Stanley Bank, N.A. as Letter of Credit Issuer</w:t>
      </w:r>
      <w:r>
        <w:rPr>
          <w:rFonts w:ascii="Arial" w:cs="Arial" w:eastAsia="Arial" w:hAnsi="Arial"/>
          <w:sz w:val="18"/>
          <w:szCs w:val="18"/>
          <w:b w:val="1"/>
          <w:bCs w:val="1"/>
          <w:color w:val="auto"/>
        </w:rPr>
        <w:t xml:space="preserve"> </w:t>
      </w:r>
      <w:r>
        <w:rPr>
          <w:rFonts w:ascii="Arial" w:cs="Arial" w:eastAsia="Arial" w:hAnsi="Arial"/>
          <w:sz w:val="18"/>
          <w:szCs w:val="18"/>
          <w:color w:val="auto"/>
        </w:rPr>
        <w:t>and appointing each of Bank of America, N.A., Goldman Sachs Bank USA and Citibank, N.A. as a successor Letter of Credit Issuer, pursuant to Section 3.6 of the Credit Agreement;</w:t>
      </w:r>
    </w:p>
    <w:p>
      <w:pPr>
        <w:spacing w:after="0" w:line="203" w:lineRule="exact"/>
        <w:rPr>
          <w:sz w:val="20"/>
          <w:szCs w:val="20"/>
          <w:color w:val="auto"/>
        </w:rPr>
      </w:pPr>
    </w:p>
    <w:p>
      <w:pPr>
        <w:ind w:right="62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Bank of America, N.A., Goldman Sachs Bank USA and Citibank, N.A. has agreed to provide Letter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pursuant to the Credit Agreement;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agreements, provisions and covenants herein contained, the parties hereto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 as follows: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THE REVOLVING CREDIT COMMITMENTS</w:t>
      </w:r>
    </w:p>
    <w:p>
      <w:pPr>
        <w:spacing w:after="0" w:line="256"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Each Revolving Credit Lender party hereto (other than KKR Corporate Lending LLC and Barclays Bank PLC, each an “</w:t>
      </w:r>
      <w:r>
        <w:rPr>
          <w:rFonts w:ascii="Arial" w:cs="Arial" w:eastAsia="Arial" w:hAnsi="Arial"/>
          <w:sz w:val="18"/>
          <w:szCs w:val="18"/>
          <w:u w:val="single" w:color="auto"/>
          <w:color w:val="auto"/>
        </w:rPr>
        <w:t>Exiting Lender</w:t>
      </w:r>
      <w:r>
        <w:rPr>
          <w:rFonts w:ascii="Arial" w:cs="Arial" w:eastAsia="Arial" w:hAnsi="Arial"/>
          <w:sz w:val="18"/>
          <w:szCs w:val="18"/>
          <w:color w:val="auto"/>
        </w:rPr>
        <w:t>”) hereby agrees to (i) commit to provide its Initial Revolving Credit Commitment (including its New Revolving Credit Commitments) in the amount listed on Schedule I hereto and (ii) extend the maturity date of its Initial Revolving Credit Commitments (including its New Revolving Credit Commitments) to (x) if the Springing Maturity Condition does not apply, October 15, 2022 and (y) if the Springing Maturity Condition does apply, the Springing Maturity Date (the “</w:t>
      </w:r>
      <w:r>
        <w:rPr>
          <w:rFonts w:ascii="Arial" w:cs="Arial" w:eastAsia="Arial" w:hAnsi="Arial"/>
          <w:sz w:val="18"/>
          <w:szCs w:val="18"/>
          <w:u w:val="single" w:color="auto"/>
          <w:color w:val="auto"/>
        </w:rPr>
        <w:t>Maturity Date Extension</w:t>
      </w:r>
      <w:r>
        <w:rPr>
          <w:rFonts w:ascii="Arial" w:cs="Arial" w:eastAsia="Arial" w:hAnsi="Arial"/>
          <w:sz w:val="18"/>
          <w:szCs w:val="18"/>
          <w:color w:val="auto"/>
        </w:rPr>
        <w:t>”), in each case, on the terms set forth in this Joinder and Amendment Agreement and subject solely to the satisfaction (or waiver by the Revolving Credit Lenders) of the Effective Date Conditions.</w:t>
      </w:r>
    </w:p>
    <w:p>
      <w:pPr>
        <w:spacing w:after="0" w:line="220"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Each Revolving Credit Lender (other than an Exiting Lender) (i) confirms that it has received a copy of the Credit Agreement and the other Credit Documents and the exhibits thereto, together with copies of the financial statements referred to therein and such other documents and information as it has deemed appropriate to make its own credit analysis and decision to enter into this Agreement; (ii) agrees that it will, independently and without reliance upon the Administrative Agent, the Collateral Agent or any other Lender or Agent and based on such documents and information as it shall deem appropriate at the time, continue to make its own credit decisions in taking or not taking action under the Credit Agreement; (iii) appoints and authorizes the Administrative Agent and the Collateral Agent to take such action as agent on its behalf and to exercise such powers under the Credit Agreement and the other Credit Documents as are delegated to the Administrative Agent or the Collateral Agent, as the case may be, by the terms thereof, together with such powers as are reasonably incidental thereto; and (iv) agrees that it will perform in accordance with their terms all of the obligations which by the terms of the Credit Agreement are required to be performed by it as a Revolving Credit Lender.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65" w:name="page66"/>
    <w:bookmarkEnd w:id="65"/>
    <w:p>
      <w:pPr>
        <w:ind w:right="160" w:firstLine="1297"/>
        <w:spacing w:after="0" w:line="302" w:lineRule="auto"/>
        <w:rPr>
          <w:sz w:val="20"/>
          <w:szCs w:val="20"/>
          <w:color w:val="auto"/>
        </w:rPr>
      </w:pPr>
      <w:r>
        <w:rPr>
          <w:rFonts w:ascii="Arial" w:cs="Arial" w:eastAsia="Arial" w:hAnsi="Arial"/>
          <w:sz w:val="16"/>
          <w:szCs w:val="16"/>
          <w:color w:val="auto"/>
        </w:rPr>
        <w:t>Each Revolving Credit Lender (other than an Exiting Lender) hereby agrees that its New Revolving Credit Commitment, if any, will be made on the terms set forth in this Joinder and Amendment Agreement and subject to the satisfaction (or waiver) of the Effective Date Conditions. The Borrower and the Administrative Agent hereby agree that the Credit Agreement will be amended to provide for the New Revolving Credit Commitments as set forth in this Joinder and Amendment Agreement upon the satisfaction (or waiver by the Revolving Credit Lenders) of the Effective Date Conditions.</w:t>
      </w:r>
    </w:p>
    <w:p>
      <w:pPr>
        <w:spacing w:after="0" w:line="177" w:lineRule="exact"/>
        <w:rPr>
          <w:sz w:val="20"/>
          <w:szCs w:val="20"/>
          <w:color w:val="auto"/>
        </w:rPr>
      </w:pPr>
    </w:p>
    <w:p>
      <w:pPr>
        <w:ind w:left="660" w:hanging="652"/>
        <w:spacing w:after="0" w:line="269"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Terms Generally</w:t>
      </w:r>
      <w:r>
        <w:rPr>
          <w:rFonts w:ascii="Arial" w:cs="Arial" w:eastAsia="Arial" w:hAnsi="Arial"/>
          <w:sz w:val="17"/>
          <w:szCs w:val="17"/>
          <w:color w:val="auto"/>
        </w:rPr>
        <w:t>. Other than as set forth herein, for all purposes under the Credit Agreement and the other Credit Documents (including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Joinder and Amendment Agreement (unless the context dictates otherwise)), the New Revolving Credit Commitments shall have the same terms as the Existing Revolving Credit Commitments outstanding under the Credit Agreement (as amended by the Maturity Date Extension set forth in this Joinder and Amendment Agreement) and will collectively comprise a single Class of Revolving Credit Commitments outstanding under the Credit Agreement. The New Revolving Credit Commitments shall be structured as an increase to the Existing Revolving Credit Commitments outstanding under the Credit Agreement immediately prior to the Effective Date. The Existing Revolving Credit Commitments and the New Revolving Credit Commitments shall collectively be referred to as the “Initial Revolving Credit Commitments” for all purposes of the Credit Agreement. The Administrative Agent shall take any and all action as may be reasonably necessary to ensure that the New Revolving Credit Commitments are included in each Borrowing and repayment of Revolving Loans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All Revolving Loans funded utilizing the New Revolving Credit Commitments shall (i) constitute Obligations and have all of the benefits thereof; (ii) have terms, rights, remedies, privileges and protections identical to those applicable to Existing Revolving Credit Commitments under the Credit Agreement and each of the other Credit Documents; and (iii) be secured by the Liens granted (I) to the Collateral Agent for the benefit of the Secured Parties under the Security Documents and/or (II) to the Secured Parties in their capacity as such (or to any of them).</w:t>
      </w:r>
    </w:p>
    <w:p>
      <w:pPr>
        <w:spacing w:after="0" w:line="203" w:lineRule="exact"/>
        <w:rPr>
          <w:rFonts w:ascii="Arial" w:cs="Arial" w:eastAsia="Arial" w:hAnsi="Arial"/>
          <w:sz w:val="17"/>
          <w:szCs w:val="17"/>
          <w:color w:val="auto"/>
        </w:rPr>
      </w:pPr>
    </w:p>
    <w:p>
      <w:pPr>
        <w:ind w:left="660" w:right="480" w:hanging="652"/>
        <w:spacing w:after="0" w:line="28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Credit Agreement Governs</w:t>
      </w:r>
      <w:r>
        <w:rPr>
          <w:rFonts w:ascii="Arial" w:cs="Arial" w:eastAsia="Arial" w:hAnsi="Arial"/>
          <w:sz w:val="18"/>
          <w:szCs w:val="18"/>
          <w:color w:val="auto"/>
        </w:rPr>
        <w:t>. Except as set forth in this Agreement, the Revolving Credit Commitments as upsized and amended hereby shall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subject to the provisions of the Credit Agreement and the other Credit Documents.</w:t>
      </w:r>
    </w:p>
    <w:p>
      <w:pPr>
        <w:spacing w:after="0" w:line="188" w:lineRule="exact"/>
        <w:rPr>
          <w:rFonts w:ascii="Arial" w:cs="Arial" w:eastAsia="Arial" w:hAnsi="Arial"/>
          <w:sz w:val="18"/>
          <w:szCs w:val="18"/>
          <w:color w:val="auto"/>
        </w:rPr>
      </w:pPr>
    </w:p>
    <w:p>
      <w:pPr>
        <w:jc w:val="both"/>
        <w:ind w:left="660" w:right="260" w:hanging="652"/>
        <w:spacing w:after="0" w:line="347"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Revolving Credit Lender Consents</w:t>
      </w:r>
      <w:r>
        <w:rPr>
          <w:rFonts w:ascii="Arial" w:cs="Arial" w:eastAsia="Arial" w:hAnsi="Arial"/>
          <w:sz w:val="16"/>
          <w:szCs w:val="16"/>
          <w:color w:val="auto"/>
        </w:rPr>
        <w:t>. Each Revolving Credit Lender party hereto in its capacity as a Revolving Credit Lender, Swingline Lender</w:t>
      </w:r>
      <w:r>
        <w:rPr>
          <w:rFonts w:ascii="Arial" w:cs="Arial" w:eastAsia="Arial" w:hAnsi="Arial"/>
          <w:sz w:val="16"/>
          <w:szCs w:val="16"/>
          <w:b w:val="1"/>
          <w:bCs w:val="1"/>
          <w:color w:val="auto"/>
        </w:rPr>
        <w:t xml:space="preserve"> </w:t>
      </w:r>
      <w:r>
        <w:rPr>
          <w:rFonts w:ascii="Arial" w:cs="Arial" w:eastAsia="Arial" w:hAnsi="Arial"/>
          <w:sz w:val="16"/>
          <w:szCs w:val="16"/>
          <w:color w:val="auto"/>
        </w:rPr>
        <w:t>and Letter of Credit Issuer, as applicable, hereby consents to each financial institution named on Schedule I hereto as a Revolving Credit Lender.</w:t>
      </w:r>
    </w:p>
    <w:p>
      <w:pPr>
        <w:spacing w:after="0" w:line="143" w:lineRule="exact"/>
        <w:rPr>
          <w:rFonts w:ascii="Arial" w:cs="Arial" w:eastAsia="Arial" w:hAnsi="Arial"/>
          <w:sz w:val="16"/>
          <w:szCs w:val="16"/>
          <w:color w:val="auto"/>
        </w:rPr>
      </w:pPr>
    </w:p>
    <w:p>
      <w:pPr>
        <w:ind w:left="660" w:hanging="652"/>
        <w:spacing w:after="0" w:line="28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Administrative Agent Consent</w:t>
      </w:r>
      <w:r>
        <w:rPr>
          <w:rFonts w:ascii="Arial" w:cs="Arial" w:eastAsia="Arial" w:hAnsi="Arial"/>
          <w:sz w:val="18"/>
          <w:szCs w:val="18"/>
          <w:color w:val="auto"/>
        </w:rPr>
        <w:t>. The Administrative Agent hereby consents to each financial institution named on Schedule I hereto as a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Lender.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AMENDMENTS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Subject to the occurrence of the Effective Date, each of the Revolving Credit Lenders hereby consents to the following amendments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w:t>
      </w:r>
    </w:p>
    <w:p>
      <w:pPr>
        <w:spacing w:after="0" w:line="238"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definition of “Revolving Credit Maturity Date” in Section 1.1 of the Credit Agreement is hereby amended and restated in its entirety as follows:</w:t>
      </w:r>
    </w:p>
    <w:p>
      <w:pPr>
        <w:spacing w:after="0" w:line="260" w:lineRule="exact"/>
        <w:rPr>
          <w:sz w:val="20"/>
          <w:szCs w:val="20"/>
          <w:color w:val="auto"/>
        </w:rPr>
      </w:pPr>
    </w:p>
    <w:p>
      <w:pPr>
        <w:ind w:left="1300"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Maturity Date</w:t>
      </w:r>
      <w:r>
        <w:rPr>
          <w:rFonts w:ascii="Arial" w:cs="Arial" w:eastAsia="Arial" w:hAnsi="Arial"/>
          <w:sz w:val="18"/>
          <w:szCs w:val="18"/>
          <w:color w:val="auto"/>
        </w:rPr>
        <w:t>” shall mean, (x) if the Springing Maturity Condition does not apply, October 15, 2022 and (y) if the Springing Maturity Condition does apply, the Springing Maturity Date, or, in each case, if such date is not a Business Day, the immediately preceding Business Day.</w:t>
      </w:r>
    </w:p>
    <w:p>
      <w:pPr>
        <w:spacing w:after="0" w:line="207" w:lineRule="exact"/>
        <w:rPr>
          <w:sz w:val="20"/>
          <w:szCs w:val="20"/>
          <w:color w:val="auto"/>
        </w:rPr>
      </w:pPr>
    </w:p>
    <w:p>
      <w:pPr>
        <w:ind w:left="1300" w:right="220"/>
        <w:spacing w:after="0" w:line="257" w:lineRule="auto"/>
        <w:rPr>
          <w:sz w:val="20"/>
          <w:szCs w:val="20"/>
          <w:color w:val="auto"/>
        </w:rPr>
      </w:pPr>
      <w:r>
        <w:rPr>
          <w:rFonts w:ascii="Arial" w:cs="Arial" w:eastAsia="Arial" w:hAnsi="Arial"/>
          <w:sz w:val="18"/>
          <w:szCs w:val="18"/>
          <w:color w:val="auto"/>
        </w:rPr>
        <w:t xml:space="preserve">Any provisions relating to the determination of a minimum tenor, maturity or weighted average life to maturity with respect to the Revolving Credit Loans for purposes of the incurrence of new indebtedness or commitments shall assume (solely for purposes of such determination and not for any other purpose) that the Springing Maturity Condition does not apply;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all other purposes, including, without limitation, the determination of the L/C Facility Maturity Date, the Letter of Credit Expiration Date and the Swingline Maturity Date, the Springing Maturity Condition shall apply.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6" w:name="page67"/>
    <w:bookmarkEnd w:id="66"/>
    <w:p>
      <w:pPr>
        <w:ind w:left="332" w:hanging="332"/>
        <w:spacing w:after="0"/>
        <w:tabs>
          <w:tab w:leader="none" w:pos="3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following definitions shall be inserted in Section 1.1 of the Credit Agreement in the correct alphabetical placement:</w:t>
      </w:r>
    </w:p>
    <w:p>
      <w:pPr>
        <w:spacing w:after="0" w:line="248" w:lineRule="exact"/>
        <w:rPr>
          <w:sz w:val="20"/>
          <w:szCs w:val="20"/>
          <w:color w:val="auto"/>
        </w:rPr>
      </w:pPr>
    </w:p>
    <w:p>
      <w:pPr>
        <w:ind w:left="1292" w:right="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Initial Term Loan Refinancing Indebtedness</w:t>
      </w:r>
      <w:r>
        <w:rPr>
          <w:rFonts w:ascii="Arial" w:cs="Arial" w:eastAsia="Arial" w:hAnsi="Arial"/>
          <w:sz w:val="16"/>
          <w:szCs w:val="16"/>
          <w:color w:val="auto"/>
        </w:rPr>
        <w:t>” shall mean Indebtedness that is permitted to be incurred hereunder and that (i) does not mature earlier than March 13, 2023, (ii) does not have a weighted average life to maturity shorter than the weighted average life to maturity of the Revolving Credit Loans and Revolving Credit Commitments (excluding from such calculation of weighted average life to maturity customary amortization or sinking fund payments not to exceed 1% per annum), (iii) does not have covenants, mandatory prepayment or mandatory offer to purchase events that are materially more onerous, taken as a whole, to Holdings, the Borrower or its Restricted Subsidiaries than those covenants and mandatory prepayment events applicable to Initial Term Loans incurred by the Borrower on the Closing Date, (iv) to the extent secured, (x) is not secured by any property or assets of the Credit Parties other than the Collateral, (y) the security agreements relating to such Indebtedness are substantially the same as or more favorable to the Credit Parties than the Security Documents (with such differences as are reasonably satisfactory to the Administrative Agent) and (z) an authorized representative acting on behalf of the holders of such Indebtedness shall have become party to a customary intercreditor agreement reasonably acceptable to the Administrative Agent and (v) is not at any time guaranteed by any entities that are not Guarantors.</w:t>
      </w:r>
    </w:p>
    <w:p>
      <w:pPr>
        <w:spacing w:after="0" w:line="191" w:lineRule="exact"/>
        <w:rPr>
          <w:sz w:val="20"/>
          <w:szCs w:val="20"/>
          <w:color w:val="auto"/>
        </w:rPr>
      </w:pPr>
    </w:p>
    <w:p>
      <w:pPr>
        <w:ind w:left="1292"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Springing Maturity Condition</w:t>
      </w:r>
      <w:r>
        <w:rPr>
          <w:rFonts w:ascii="Arial" w:cs="Arial" w:eastAsia="Arial" w:hAnsi="Arial"/>
          <w:sz w:val="16"/>
          <w:szCs w:val="16"/>
          <w:color w:val="auto"/>
        </w:rPr>
        <w:t>” shall mean that, on the Springing Maturity Date, at least $702,362,506.82 of Initial Term Loans (such amount to be increased dollar for dollar by the amount of First Lien Obligations and any other Indebtedness that is secured by the Collateral on an equal priority basis (but without regard to the control of remedies) with liens on the Collateral securing the Obligations, in each case incurred by the Borrower that would not be considered Permitted Initial Term Loan Refinancing Indebtedness) have not been repurchased (and terminated), repaid or refinanced with (w) Permitted Initial Term Loan Refinancing Indebtedness, (x) net cash proceeds of an issuance of Qualified Stock of the Borrower that is issued to a Person other than a Subsidiary of the Borrower, (y) internally generated cash and/or</w:t>
      </w:r>
    </w:p>
    <w:p>
      <w:pPr>
        <w:spacing w:after="0" w:line="4" w:lineRule="exact"/>
        <w:rPr>
          <w:sz w:val="20"/>
          <w:szCs w:val="20"/>
          <w:color w:val="auto"/>
        </w:rPr>
      </w:pPr>
    </w:p>
    <w:p>
      <w:pPr>
        <w:ind w:left="1292" w:right="3160" w:firstLine="5"/>
        <w:spacing w:after="0" w:line="589" w:lineRule="auto"/>
        <w:tabs>
          <w:tab w:leader="none" w:pos="15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a capital contribution to the Borrower from a Person other than a Subsidiary of the Borrower. “</w:t>
      </w:r>
      <w:r>
        <w:rPr>
          <w:rFonts w:ascii="Arial" w:cs="Arial" w:eastAsia="Arial" w:hAnsi="Arial"/>
          <w:sz w:val="16"/>
          <w:szCs w:val="16"/>
          <w:b w:val="1"/>
          <w:bCs w:val="1"/>
          <w:color w:val="auto"/>
        </w:rPr>
        <w:t>Springing Maturity Date</w:t>
      </w:r>
      <w:r>
        <w:rPr>
          <w:rFonts w:ascii="Arial" w:cs="Arial" w:eastAsia="Arial" w:hAnsi="Arial"/>
          <w:sz w:val="16"/>
          <w:szCs w:val="16"/>
          <w:color w:val="auto"/>
        </w:rPr>
        <w:t>” means the date that is 91 days before March 13, 2021.</w:t>
      </w:r>
    </w:p>
    <w:p>
      <w:pPr>
        <w:ind w:left="332" w:right="460" w:hanging="332"/>
        <w:spacing w:after="0" w:line="277" w:lineRule="auto"/>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last sentence of the definition of “Revolving Credit Commitment” in Section 1.1 of the Credit Agreement is hereby amended and restated in its entirety as follows:</w:t>
      </w:r>
    </w:p>
    <w:p>
      <w:pPr>
        <w:spacing w:after="0" w:line="197" w:lineRule="exact"/>
        <w:rPr>
          <w:sz w:val="20"/>
          <w:szCs w:val="20"/>
          <w:color w:val="auto"/>
        </w:rPr>
      </w:pPr>
    </w:p>
    <w:p>
      <w:pPr>
        <w:ind w:left="1292" w:right="600"/>
        <w:spacing w:after="0" w:line="308" w:lineRule="auto"/>
        <w:rPr>
          <w:sz w:val="20"/>
          <w:szCs w:val="20"/>
          <w:color w:val="auto"/>
        </w:rPr>
      </w:pPr>
      <w:r>
        <w:rPr>
          <w:rFonts w:ascii="Arial" w:cs="Arial" w:eastAsia="Arial" w:hAnsi="Arial"/>
          <w:sz w:val="17"/>
          <w:szCs w:val="17"/>
          <w:color w:val="auto"/>
        </w:rPr>
        <w:t>The aggregate Revolving Credit Commitments of all Revolving Credit Lenders shall be $100,000,000 (the “Initial Revolving Credit Commitments”), as such amount may be adjusted from time to time in accordance with the terms of this Agreement.</w:t>
      </w:r>
    </w:p>
    <w:p>
      <w:pPr>
        <w:spacing w:after="0" w:line="174" w:lineRule="exact"/>
        <w:rPr>
          <w:sz w:val="20"/>
          <w:szCs w:val="20"/>
          <w:color w:val="auto"/>
        </w:rPr>
      </w:pPr>
    </w:p>
    <w:p>
      <w:pPr>
        <w:jc w:val="both"/>
        <w:ind w:left="332" w:hanging="332"/>
        <w:spacing w:after="0" w:line="264" w:lineRule="auto"/>
        <w:tabs>
          <w:tab w:leader="none" w:pos="3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table under the heading “Revolving Commitments” of Schedule 1.1(b) of the Credit Agreement shall be replaced in its entirety with Schedule I to the Joinder and Amendment Agreement dated as of October 31, 2017 among the Borrower, the Guarantors, the Revolving Credit Lenders, the Administrative Agent and the other parties thereto.</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67" w:name="page68"/>
    <w:bookmarkEnd w:id="67"/>
    <w:p>
      <w:pPr>
        <w:ind w:left="340" w:hanging="332"/>
        <w:spacing w:after="0"/>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definition of “Letter of Credit Commitment” in Section 1.1 of the Credit Agreement is hereby amended and restated in its entirety as follows: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 Commitment</w:t>
      </w:r>
      <w:r>
        <w:rPr>
          <w:rFonts w:ascii="Arial" w:cs="Arial" w:eastAsia="Arial" w:hAnsi="Arial"/>
          <w:sz w:val="17"/>
          <w:szCs w:val="17"/>
          <w:color w:val="auto"/>
        </w:rPr>
        <w:t>” shall mean $20,000,000 (provided the Letter of Credit Commitment of (i) Bank of America, N.A. shall</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 exceed $6,666,666.67, (ii) Goldman Sachs Bank USA shall not exceed $6,666,666.67 and (iii) Citibank, N.A. shall not exceed</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$6,666,666.67, in each case unless otherwise agreed to by such Letter of Credit Issuer in its sole discretion), as the same may be reduced</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from time to time pursuant to Section 3.1.</w:t>
      </w:r>
    </w:p>
    <w:p>
      <w:pPr>
        <w:spacing w:after="0" w:line="238"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definition of “Letter of Credit Issuer” in Section 1.1 of the Credit Agreement is hereby amended and restated in its entirety as follows:</w:t>
      </w:r>
    </w:p>
    <w:p>
      <w:pPr>
        <w:spacing w:after="0" w:line="248" w:lineRule="exact"/>
        <w:rPr>
          <w:sz w:val="20"/>
          <w:szCs w:val="20"/>
          <w:color w:val="auto"/>
        </w:rPr>
      </w:pPr>
    </w:p>
    <w:p>
      <w:pPr>
        <w:ind w:left="1300" w:right="2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 Issuer</w:t>
      </w:r>
      <w:r>
        <w:rPr>
          <w:rFonts w:ascii="Arial" w:cs="Arial" w:eastAsia="Arial" w:hAnsi="Arial"/>
          <w:sz w:val="17"/>
          <w:szCs w:val="17"/>
          <w:color w:val="auto"/>
        </w:rPr>
        <w:t>” shall mean (i) in the case of standby Letters of Credit only, (a) as applicable, each of Bank of America, N.A., Goldman Sachs Bank USA and Citibank, N.A. and (b) any of their respective Affiliates or branches and (ii) any replacement, additional issuer, or successor pursuant to Section 3.6.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REALLOCATION</w:t>
      </w:r>
    </w:p>
    <w:p>
      <w:pPr>
        <w:spacing w:after="0" w:line="256"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 xml:space="preserve">On the Effective Date, the Borrower shall, in coordination with the Administrative Agent, repay outstanding Revolving Loans, if any, of certain of the Revolving Credit Lenders, and incur additional Revolving Loans from certain of the Revolving Credit Lenders to the extent necessary so that all of the Revolving Credit Lenders (other than an Exiting Lender) participate in each outstanding Borrowing of Revolving Loans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their respective Revolving Credit Commitment Percentage (after giving effect to New Revolving Credit Commitments). The participations in any outstanding Letters of Credit and any outstanding Swingline Loans shall each be adjusted in accordance with each Lender’s Revolving Credit Commitment Percentage as reallocated in accordance with such increase in Revolving Credit Commitments.</w:t>
      </w:r>
    </w:p>
    <w:p>
      <w:pPr>
        <w:spacing w:after="0" w:line="205"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On the Effective Date and in connection with the replacement of Morgan Stanley Bank, N.A. as Letter of Credit Issuer and the appointment of each of Bank of America, N.A., Goldman Sachs Bank USA and Citibank, N.A. as a successor Letter of Credit Issuer pursuant to Section 3.6 of the Credit Agreement, the Borrower agrees to pay to Morgan Stanley Bank, N.A. all Fronting Fees accrued and unpaid in connection with all outstanding Letters of Credit immediately prior to the Effective Date.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ASSIGNMENTS</w:t>
      </w:r>
    </w:p>
    <w:p>
      <w:pPr>
        <w:spacing w:after="0" w:line="256"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On the Effective Date, concurrently with the effectiveness of this Agreement, each Revolving Credit Lender party hereto shall, pursuant to Section 13.6(b) of the Credit Agreement (x) assign all or a portion of its Existing Revolving Credit Commitments or (y) accept as an assignee Initial Revolving Credit Commitments (and provide New Revolving Credit Commitments, if applicable), in each case, as set forth on Schedule II hereto such that after giving effect to the assignments contemplated hereby (and the establishment of the New Revolving Credit Commitments) each Revolving Credit Lender (other than an Exiting Lender) will hold Initial Revolving Credit Commitments in the amounts set forth on Schedule II hereto. The trade date and the effective date of all such assignments shall be the Effective Date. By their execution hereof, each of the Borrower, the Letter of Credit Issuer, the Swingline Lender and the Administrative Agent hereby consent to all such assignments.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8" w:name="page69"/>
    <w:bookmarkEnd w:id="68"/>
    <w:p>
      <w:pPr>
        <w:ind w:firstLine="1297"/>
        <w:spacing w:after="0" w:line="276" w:lineRule="auto"/>
        <w:rPr>
          <w:sz w:val="20"/>
          <w:szCs w:val="20"/>
          <w:color w:val="auto"/>
        </w:rPr>
      </w:pPr>
      <w:r>
        <w:rPr>
          <w:rFonts w:ascii="Arial" w:cs="Arial" w:eastAsia="Arial" w:hAnsi="Arial"/>
          <w:sz w:val="17"/>
          <w:szCs w:val="17"/>
          <w:color w:val="auto"/>
        </w:rPr>
        <w:t>On the Effective Date the Borrower shall make all payments in respect of the Existing Revolving Credit Commitments (including principal, interest, fees and other amounts (including, for the avoidance of doubt, any Letter of Credit Fees)) to each Revolving Credit Lender that holds Existing Revolving Credit Commitments (either directly to such Revolving Credit Lender or to the Administrative Agent on behalf of such Revolving Credit Lender) which have accrued to but excluding the Effective Date. Notwithstanding the foregoing, the Administrative Agent shall make all payments of interest, fees or other amounts paid or payable in kind from and after the Effective Date to the relevant assignee, as applicable.</w:t>
      </w:r>
    </w:p>
    <w:p>
      <w:pPr>
        <w:spacing w:after="0" w:line="200"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The Administrative Agent further acknowledges and agrees that this Agreement shall constitute an “Assignment and Acceptance” in a reasonably satisfactory form.</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Borrower acknowledges and agrees that each Exiting Lender shall no longer be considered a Revolving Credit Lender under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OTHER TERMS OF THE JOINDER AND AMENDMENT AGREEMENT</w:t>
      </w:r>
    </w:p>
    <w:p>
      <w:pPr>
        <w:spacing w:after="0" w:line="252" w:lineRule="exact"/>
        <w:rPr>
          <w:sz w:val="20"/>
          <w:szCs w:val="20"/>
          <w:color w:val="auto"/>
        </w:rPr>
      </w:pPr>
    </w:p>
    <w:p>
      <w:pPr>
        <w:ind w:left="660" w:right="20" w:hanging="652"/>
        <w:spacing w:after="0" w:line="269"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 The Borrower hereby represents and warrants that this Agreement has been duly authorized, executed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by each Credit Party hereto and constitutes the legal, valid and binding obligations of each such Credit Party enforceable against it in accordance with its terms, except that the enforceability hereof may be limited by bankruptcy, insolvency or similar laws affecting creditors’ rights generally and subject to general principles of equity. The execution, delivery and performance by each Credit Party of this Agreement is within such Credit Party’s corporate powers, has been duly authorized by all necessary corporate or other organizational action, and does not and will not (a) conflict with or contravene the terms of any Credit Party’s organizational documents, (b) result in any breach or contravention of, or the creation of any Lien under (other than under the Credit Documents), or require any payment to be made under (i) any Contractual Requirement to which any Credit Party is a party or affecting any Credit Party or the properties of the Borrower or any of its Subsidiaries or (ii) any order, injunction, writ or decree of any Governmental Authority or any arbitral award to which any Credit Party or its property is subject; or (c) violate any applicable law; except with respect to any conflict, breach or contravention or payment or violation (but not creation of Liens) referred to in clauses (a) or (b), to the extent that such conflict, breach, contravention or payment or violation could not, individually or in the aggregate, reasonably be expected to have a Material Adverse Effect.</w:t>
      </w:r>
    </w:p>
    <w:p>
      <w:pPr>
        <w:spacing w:after="0" w:line="206" w:lineRule="exact"/>
        <w:rPr>
          <w:rFonts w:ascii="Arial" w:cs="Arial" w:eastAsia="Arial" w:hAnsi="Arial"/>
          <w:sz w:val="17"/>
          <w:szCs w:val="17"/>
          <w:color w:val="auto"/>
        </w:rPr>
      </w:pPr>
    </w:p>
    <w:p>
      <w:pPr>
        <w:ind w:left="660" w:right="160" w:hanging="652"/>
        <w:spacing w:after="0" w:line="347"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Borrower and Guarantor Certifications</w:t>
      </w:r>
      <w:r>
        <w:rPr>
          <w:rFonts w:ascii="Arial" w:cs="Arial" w:eastAsia="Arial" w:hAnsi="Arial"/>
          <w:sz w:val="16"/>
          <w:szCs w:val="16"/>
          <w:color w:val="auto"/>
        </w:rPr>
        <w:t>. By its execution of this Agreement, each undersigned officer of the Borrower and the Guarantors party</w:t>
      </w:r>
      <w:r>
        <w:rPr>
          <w:rFonts w:ascii="Arial" w:cs="Arial" w:eastAsia="Arial" w:hAnsi="Arial"/>
          <w:sz w:val="16"/>
          <w:szCs w:val="16"/>
          <w:b w:val="1"/>
          <w:bCs w:val="1"/>
          <w:color w:val="auto"/>
        </w:rPr>
        <w:t xml:space="preserve"> </w:t>
      </w:r>
      <w:r>
        <w:rPr>
          <w:rFonts w:ascii="Arial" w:cs="Arial" w:eastAsia="Arial" w:hAnsi="Arial"/>
          <w:sz w:val="16"/>
          <w:szCs w:val="16"/>
          <w:color w:val="auto"/>
        </w:rPr>
        <w:t>hereto, to the best of his or her knowledge, and the Borrower and Guarantors hereby certify that (the “</w:t>
      </w:r>
      <w:r>
        <w:rPr>
          <w:rFonts w:ascii="Arial" w:cs="Arial" w:eastAsia="Arial" w:hAnsi="Arial"/>
          <w:sz w:val="16"/>
          <w:szCs w:val="16"/>
          <w:u w:val="single" w:color="auto"/>
          <w:color w:val="auto"/>
        </w:rPr>
        <w:t>Borrower and Guarantor Certifications</w:t>
      </w:r>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 Default or Event of Default exists on the date hereof before or after giving effect to the New Revolving Credit Commitments, the intended use of proceeds of the Revolving Credit Loans related thereto and the consummation of the other transactions contemplated by this Agreement; and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9" w:name="page70"/>
    <w:bookmarkEnd w:id="69"/>
    <w:p>
      <w:pPr>
        <w:ind w:left="1292" w:hanging="644"/>
        <w:spacing w:after="0" w:line="293" w:lineRule="auto"/>
        <w:tabs>
          <w:tab w:leader="none" w:pos="1292"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representations and warranties made by each Credit Party contained in the Credit Agreement or in the other Credit Documents are true and correct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representations and warranties which are qualified by materiality, material adverse effect or similar language shall be true and correct in all respects) on and as of the date hereof with the same effect as though made on and as of the date hereof, except where such representations and warranties expressly relate to an earlier date, in which case such representations and warranties were true and correct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representations and warranties which are qualified by materiality, material adverse effect or similar language shall be true and correct in all respects) as of such earlier date.</w:t>
      </w:r>
    </w:p>
    <w:p>
      <w:pPr>
        <w:spacing w:after="0" w:line="187" w:lineRule="exact"/>
        <w:rPr>
          <w:rFonts w:ascii="Arial" w:cs="Arial" w:eastAsia="Arial" w:hAnsi="Arial"/>
          <w:sz w:val="16"/>
          <w:szCs w:val="16"/>
          <w:color w:val="auto"/>
        </w:rPr>
      </w:pPr>
    </w:p>
    <w:p>
      <w:pPr>
        <w:ind w:left="652" w:right="20" w:hanging="652"/>
        <w:spacing w:after="0" w:line="282" w:lineRule="auto"/>
        <w:tabs>
          <w:tab w:leader="none" w:pos="652"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Effective Date Conditions</w:t>
      </w:r>
      <w:r>
        <w:rPr>
          <w:rFonts w:ascii="Arial" w:cs="Arial" w:eastAsia="Arial" w:hAnsi="Arial"/>
          <w:sz w:val="18"/>
          <w:szCs w:val="18"/>
          <w:color w:val="auto"/>
        </w:rPr>
        <w:t>. This Agreement will become effective on the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each of the following conditions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Effective Date Conditions</w:t>
      </w:r>
      <w:r>
        <w:rPr>
          <w:rFonts w:ascii="Arial" w:cs="Arial" w:eastAsia="Arial" w:hAnsi="Arial"/>
          <w:sz w:val="18"/>
          <w:szCs w:val="18"/>
          <w:color w:val="auto"/>
        </w:rPr>
        <w:t>”) is satisfied:</w:t>
      </w:r>
    </w:p>
    <w:p>
      <w:pPr>
        <w:spacing w:after="0" w:line="192" w:lineRule="exact"/>
        <w:rPr>
          <w:rFonts w:ascii="Arial" w:cs="Arial" w:eastAsia="Arial" w:hAnsi="Arial"/>
          <w:sz w:val="18"/>
          <w:szCs w:val="18"/>
          <w:color w:val="auto"/>
        </w:rPr>
      </w:pPr>
    </w:p>
    <w:p>
      <w:pPr>
        <w:ind w:left="1292" w:right="60" w:hanging="644"/>
        <w:spacing w:after="0" w:line="277" w:lineRule="auto"/>
        <w:tabs>
          <w:tab w:leader="none" w:pos="12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the Borrower, each Guarantor, the Collateral Agent, the Swingline Lender, the Letter of Credit Issuer and each Revolving Credit Lender a counterpart of this Agreement signed on behalf of such party;</w:t>
      </w:r>
    </w:p>
    <w:p>
      <w:pPr>
        <w:spacing w:after="0" w:line="197" w:lineRule="exact"/>
        <w:rPr>
          <w:rFonts w:ascii="Arial" w:cs="Arial" w:eastAsia="Arial" w:hAnsi="Arial"/>
          <w:sz w:val="18"/>
          <w:szCs w:val="18"/>
          <w:color w:val="auto"/>
        </w:rPr>
      </w:pPr>
    </w:p>
    <w:p>
      <w:pPr>
        <w:ind w:left="1292" w:right="180" w:hanging="644"/>
        <w:spacing w:after="0" w:line="259" w:lineRule="auto"/>
        <w:tabs>
          <w:tab w:leader="none" w:pos="12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Administrative Agent and the Revolving Credit Lenders shall have received the executed legal opinion of (i) Simpson Thacher &amp; Bartlett LLP, special New York counsel to the Credit Parties and (ii) Kilpatrick Townsend &amp; Stockton LLP, special Georgia counsel to the Credit Parties. The Borrower, the other Credit Parties and the Administrative Agent hereby instruct such counsel to deliver such legal opinions;</w:t>
      </w:r>
    </w:p>
    <w:p>
      <w:pPr>
        <w:spacing w:after="0" w:line="213" w:lineRule="exact"/>
        <w:rPr>
          <w:rFonts w:ascii="Arial" w:cs="Arial" w:eastAsia="Arial" w:hAnsi="Arial"/>
          <w:sz w:val="18"/>
          <w:szCs w:val="18"/>
          <w:color w:val="auto"/>
        </w:rPr>
      </w:pPr>
    </w:p>
    <w:p>
      <w:pPr>
        <w:ind w:left="1292" w:right="20" w:hanging="644"/>
        <w:spacing w:after="0" w:line="264" w:lineRule="auto"/>
        <w:tabs>
          <w:tab w:leader="none" w:pos="12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Borrower shall have paid the Administrative Agent all reasonable costs and expenses (including, without limitation the reasonable fees, charges and disbursements of Cahill Gordon &amp; Reindel LLP, counsel for the Administrative Agent) of the Administrative Agent for which invoices have been presented prior to the Effective Date;</w:t>
      </w:r>
    </w:p>
    <w:p>
      <w:pPr>
        <w:spacing w:after="0" w:line="208" w:lineRule="exact"/>
        <w:rPr>
          <w:rFonts w:ascii="Arial" w:cs="Arial" w:eastAsia="Arial" w:hAnsi="Arial"/>
          <w:sz w:val="18"/>
          <w:szCs w:val="18"/>
          <w:color w:val="auto"/>
        </w:rPr>
      </w:pPr>
    </w:p>
    <w:p>
      <w:pPr>
        <w:ind w:left="1292" w:right="60" w:hanging="644"/>
        <w:spacing w:after="0" w:line="284" w:lineRule="auto"/>
        <w:tabs>
          <w:tab w:leader="none" w:pos="1292"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Administrative Agent shall have received good standing certificates (to the extent such concept exists) from the applicable governmental authority of each Credit Party’s jurisdiction of incorporation, organization or formation and (I) (A) a certificate of the Credit Parties, dated the Effective Date, substantially in the form of Exhibit E to the Credit Agreement, with appropriate insertions, of each Credit Party, executed by the President or any Vice President and the Secretary or any Assistant Secretary of each Credit Party, and attaching the documents referred to in the following clause (B) and (B) (x) a copy of the resolutions, in form and substance satisfactory to the Administrative Agent, of the board of directors or other managers of each Credit Party (or a duly authorized committee thereof) authorizing</w:t>
      </w:r>
    </w:p>
    <w:p>
      <w:pPr>
        <w:spacing w:after="0" w:line="4" w:lineRule="exact"/>
        <w:rPr>
          <w:rFonts w:ascii="Arial" w:cs="Arial" w:eastAsia="Arial" w:hAnsi="Arial"/>
          <w:sz w:val="16"/>
          <w:szCs w:val="16"/>
          <w:color w:val="auto"/>
        </w:rPr>
      </w:pPr>
    </w:p>
    <w:p>
      <w:pPr>
        <w:ind w:left="1292"/>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(i) the execution, delivery and performance of each Credit Document to which it is a party and (ii) in the case of the Borrower, the extensions of credit contemplated hereunder, (y) the Certificate of Incorporation and By-Laws, Certificate of Formation and Operating Agreement or other comparable organizational documents, as applicable, of each Credit Party and (z) signature and incumbency certificates of the Authorized Officers of each Credit Party executing the Credit Documents to which it is a party or (II) a certificate of Holdings on behalf of each Credit Party, dated the Effective Date and executed by an Authorized Officer of Holdings, certifying that, except as otherwise indicated therein, there have been no amendments, supplements or modifications since the Closing Date to the documents delivered on the Closing Date pursuant to </w:t>
      </w:r>
      <w:r>
        <w:rPr>
          <w:rFonts w:ascii="Arial" w:cs="Arial" w:eastAsia="Arial" w:hAnsi="Arial"/>
          <w:sz w:val="17"/>
          <w:szCs w:val="17"/>
          <w:u w:val="single" w:color="auto"/>
          <w:color w:val="auto"/>
        </w:rPr>
        <w:t>Sections 6.5(x)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6.6</w:t>
      </w:r>
      <w:r>
        <w:rPr>
          <w:rFonts w:ascii="Arial" w:cs="Arial" w:eastAsia="Arial" w:hAnsi="Arial"/>
          <w:sz w:val="17"/>
          <w:szCs w:val="17"/>
          <w:color w:val="auto"/>
        </w:rPr>
        <w:t xml:space="preserve"> of the Credit Agreement, with such certificates pursuant to clauses (I) and (II) above also certifying that after giving effect to the incurrence of the New Revolving Credit Commitments and the Extended Revolving Credit Commitments, the Borrower has not incurred Indebtedness pursuant to Section 2.14 of the Credit Agreement in excess of the Maximum Incremental Facilities Amount, calculated in accordance with the terms of the Credit Agreement;</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70" w:name="page71"/>
    <w:bookmarkEnd w:id="70"/>
    <w:p>
      <w:pPr>
        <w:ind w:left="1300" w:right="360" w:hanging="644"/>
        <w:spacing w:after="0" w:line="259"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the Chief Executive Officer, President, the Chief Financial Officer, the Treasurer, the Vice President-Finance, a Director, a Manager or any other senior financial officer of the Borrower to the effect that after giving effect to the transactions contemplated by this Agreement, Holdings on a consolidated basis with its Restricted Subsidiaries is Solvent; and</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Borrower and Guarantor Certifications are true and correct.</w:t>
      </w:r>
    </w:p>
    <w:p>
      <w:pPr>
        <w:spacing w:after="0" w:line="248" w:lineRule="exact"/>
        <w:rPr>
          <w:rFonts w:ascii="Arial" w:cs="Arial" w:eastAsia="Arial" w:hAnsi="Arial"/>
          <w:sz w:val="18"/>
          <w:szCs w:val="18"/>
          <w:color w:val="auto"/>
        </w:rPr>
      </w:pPr>
    </w:p>
    <w:p>
      <w:pPr>
        <w:ind w:left="660" w:right="440" w:hanging="652"/>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For purposes of the Credit Agreement, the initial notice address of the Revolving Credit Lenders shall be as separately identified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w:t>
      </w:r>
    </w:p>
    <w:p>
      <w:pPr>
        <w:spacing w:after="0" w:line="188" w:lineRule="exact"/>
        <w:rPr>
          <w:rFonts w:ascii="Arial" w:cs="Arial" w:eastAsia="Arial" w:hAnsi="Arial"/>
          <w:sz w:val="18"/>
          <w:szCs w:val="18"/>
          <w:color w:val="auto"/>
        </w:rPr>
      </w:pPr>
    </w:p>
    <w:p>
      <w:pPr>
        <w:ind w:left="660" w:right="60" w:hanging="652"/>
        <w:spacing w:after="0" w:line="26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Tax Forms</w:t>
      </w:r>
      <w:r>
        <w:rPr>
          <w:rFonts w:ascii="Arial" w:cs="Arial" w:eastAsia="Arial" w:hAnsi="Arial"/>
          <w:sz w:val="18"/>
          <w:szCs w:val="18"/>
          <w:color w:val="auto"/>
        </w:rPr>
        <w:t>. Delivered herewith (if not already delivered previously) to the Administrative Agent are such forms, certificates or other evidence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United States federal income tax withholding matters as the Revolving Credit Lenders may be required to deliver to the Administrative Agent pursuant to </w:t>
      </w:r>
      <w:r>
        <w:rPr>
          <w:rFonts w:ascii="Arial" w:cs="Arial" w:eastAsia="Arial" w:hAnsi="Arial"/>
          <w:sz w:val="18"/>
          <w:szCs w:val="18"/>
          <w:u w:val="single" w:color="auto"/>
          <w:color w:val="auto"/>
        </w:rPr>
        <w:t>Section 5.4(d)</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of the Credit Agreement.</w:t>
      </w:r>
    </w:p>
    <w:p>
      <w:pPr>
        <w:spacing w:after="0" w:line="203" w:lineRule="exact"/>
        <w:rPr>
          <w:rFonts w:ascii="Arial" w:cs="Arial" w:eastAsia="Arial" w:hAnsi="Arial"/>
          <w:sz w:val="18"/>
          <w:szCs w:val="18"/>
          <w:color w:val="auto"/>
        </w:rPr>
      </w:pPr>
    </w:p>
    <w:p>
      <w:pPr>
        <w:ind w:left="660" w:right="340" w:hanging="652"/>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Recordation of the New Revolving Credit Commitments</w:t>
      </w:r>
      <w:r>
        <w:rPr>
          <w:rFonts w:ascii="Arial" w:cs="Arial" w:eastAsia="Arial" w:hAnsi="Arial"/>
          <w:sz w:val="18"/>
          <w:szCs w:val="18"/>
          <w:color w:val="auto"/>
        </w:rPr>
        <w:t>. Upon execution and delivery hereof, the Administrative Agent will record the New</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Commitments of the applicable Revolving Credit Lenders in the Register.</w:t>
      </w:r>
    </w:p>
    <w:p>
      <w:pPr>
        <w:spacing w:after="0" w:line="188" w:lineRule="exact"/>
        <w:rPr>
          <w:rFonts w:ascii="Arial" w:cs="Arial" w:eastAsia="Arial" w:hAnsi="Arial"/>
          <w:sz w:val="18"/>
          <w:szCs w:val="18"/>
          <w:color w:val="auto"/>
        </w:rPr>
      </w:pPr>
    </w:p>
    <w:p>
      <w:pPr>
        <w:ind w:left="660" w:right="420" w:hanging="652"/>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Amendment, Modification and Waiver</w:t>
      </w:r>
      <w:r>
        <w:rPr>
          <w:rFonts w:ascii="Arial" w:cs="Arial" w:eastAsia="Arial" w:hAnsi="Arial"/>
          <w:sz w:val="18"/>
          <w:szCs w:val="18"/>
          <w:color w:val="auto"/>
        </w:rPr>
        <w:t>. This Agreement may not be amended, modified or waived except by an instrument or instruments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and delivered on behalf of each of the parties hereto.</w:t>
      </w:r>
    </w:p>
    <w:p>
      <w:pPr>
        <w:spacing w:after="0" w:line="188" w:lineRule="exact"/>
        <w:rPr>
          <w:rFonts w:ascii="Arial" w:cs="Arial" w:eastAsia="Arial" w:hAnsi="Arial"/>
          <w:sz w:val="18"/>
          <w:szCs w:val="18"/>
          <w:color w:val="auto"/>
        </w:rPr>
      </w:pPr>
    </w:p>
    <w:p>
      <w:pPr>
        <w:ind w:left="660" w:right="140" w:hanging="652"/>
        <w:spacing w:after="0" w:line="26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the Credit Agreement and the other Credit Documents constitute the entire agreement among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and thereof and supersede all other prior agreements and understandings, both written and verbal, among the parties or any of them with respect to the subject matter hereof.</w:t>
      </w:r>
    </w:p>
    <w:p>
      <w:pPr>
        <w:spacing w:after="0" w:line="203"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GOVERNING LAW; SUBMISSION TO JURISDICTION</w:t>
      </w:r>
      <w:r>
        <w:rPr>
          <w:rFonts w:ascii="Arial" w:cs="Arial" w:eastAsia="Arial" w:hAnsi="Arial"/>
          <w:sz w:val="18"/>
          <w:szCs w:val="18"/>
          <w:color w:val="auto"/>
        </w:rPr>
        <w:t>.</w:t>
      </w:r>
      <w:r>
        <w:rPr>
          <w:rFonts w:ascii="Arial" w:cs="Arial" w:eastAsia="Arial" w:hAnsi="Arial"/>
          <w:sz w:val="18"/>
          <w:szCs w:val="18"/>
          <w:b w:val="1"/>
          <w:bCs w:val="1"/>
          <w:color w:val="auto"/>
        </w:rPr>
        <w:t xml:space="preserve"> THIS AGREEMENT AND THE RIGHTS AND OBLIGATIONS OF THE</w:t>
      </w:r>
    </w:p>
    <w:p>
      <w:pPr>
        <w:spacing w:after="0" w:line="27" w:lineRule="exact"/>
        <w:rPr>
          <w:rFonts w:ascii="Arial" w:cs="Arial" w:eastAsia="Arial" w:hAnsi="Arial"/>
          <w:sz w:val="18"/>
          <w:szCs w:val="18"/>
          <w:color w:val="auto"/>
        </w:rPr>
      </w:pPr>
    </w:p>
    <w:p>
      <w:pPr>
        <w:ind w:left="660" w:right="28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PARTIES HEREUNDER SHALL BE GOVERNED BY, AND SHALL BE CONSTRUED AND ENFORCED IN ACCORDANCE WITH THE LAWS OF THE STATE OF NEW YORK. </w:t>
      </w:r>
      <w:r>
        <w:rPr>
          <w:rFonts w:ascii="Arial" w:cs="Arial" w:eastAsia="Arial" w:hAnsi="Arial"/>
          <w:sz w:val="18"/>
          <w:szCs w:val="18"/>
          <w:u w:val="single" w:color="auto"/>
          <w:color w:val="auto"/>
        </w:rPr>
        <w:t>Section 13.13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is hereby incorporated into this Agreement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mutatis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would be enforceable.</w:t>
      </w:r>
    </w:p>
    <w:p>
      <w:pPr>
        <w:spacing w:after="0" w:line="191" w:lineRule="exact"/>
        <w:rPr>
          <w:rFonts w:ascii="Arial" w:cs="Arial" w:eastAsia="Arial" w:hAnsi="Arial"/>
          <w:sz w:val="17"/>
          <w:szCs w:val="17"/>
          <w:color w:val="auto"/>
        </w:rPr>
      </w:pPr>
    </w:p>
    <w:p>
      <w:pPr>
        <w:ind w:left="660" w:right="260" w:hanging="652"/>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(including by facsimile or other electronic transmission),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shall constitute one and the same agreement.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1" w:name="page72"/>
    <w:bookmarkEnd w:id="71"/>
    <w:p>
      <w:pPr>
        <w:ind w:left="652" w:right="320" w:hanging="652"/>
        <w:spacing w:after="0" w:line="266" w:lineRule="auto"/>
        <w:tabs>
          <w:tab w:leader="none" w:pos="65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EACH OF THE PARTIES HERETO IRREVOCABLY WAIVES THE RIGHT TO TRIAL BY JURY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PROCEEDING, CLAIM OR COUNTERCLAIM BROUGHT BY OR ON BEHALF OF ANY PARTY RELATED TO OR ARISING OUT OF THIS AGREEMENT LETTER OR THE PERFORMANCE OF SERVICES HEREUNDER.</w:t>
      </w:r>
    </w:p>
    <w:p>
      <w:pPr>
        <w:spacing w:after="0" w:line="203" w:lineRule="exact"/>
        <w:rPr>
          <w:rFonts w:ascii="Arial" w:cs="Arial" w:eastAsia="Arial" w:hAnsi="Arial"/>
          <w:sz w:val="18"/>
          <w:szCs w:val="18"/>
          <w:color w:val="auto"/>
        </w:rPr>
      </w:pPr>
    </w:p>
    <w:p>
      <w:pPr>
        <w:ind w:left="652" w:right="160" w:hanging="652"/>
        <w:spacing w:after="0" w:line="266" w:lineRule="auto"/>
        <w:tabs>
          <w:tab w:leader="none" w:pos="65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Credit Document</w:t>
      </w:r>
      <w:r>
        <w:rPr>
          <w:rFonts w:ascii="Arial" w:cs="Arial" w:eastAsia="Arial" w:hAnsi="Arial"/>
          <w:sz w:val="18"/>
          <w:szCs w:val="18"/>
          <w:color w:val="auto"/>
        </w:rPr>
        <w:t>. On and after the Effective Date, this Agreement shall constitute a “Credit Document” for all purposes of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other Credit Documents (it being understood that, for the avoidance of doubt, this Agreement may be amended or waived solely by the parties hereto as set forth herein).</w:t>
      </w:r>
    </w:p>
    <w:p>
      <w:pPr>
        <w:spacing w:after="0" w:line="203" w:lineRule="exact"/>
        <w:rPr>
          <w:rFonts w:ascii="Arial" w:cs="Arial" w:eastAsia="Arial" w:hAnsi="Arial"/>
          <w:sz w:val="18"/>
          <w:szCs w:val="18"/>
          <w:color w:val="auto"/>
        </w:rPr>
      </w:pPr>
    </w:p>
    <w:p>
      <w:pPr>
        <w:ind w:left="652" w:hanging="652"/>
        <w:spacing w:after="0" w:line="270" w:lineRule="auto"/>
        <w:tabs>
          <w:tab w:leader="none" w:pos="652"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Reaffirmation</w:t>
      </w:r>
      <w:r>
        <w:rPr>
          <w:rFonts w:ascii="Arial" w:cs="Arial" w:eastAsia="Arial" w:hAnsi="Arial"/>
          <w:sz w:val="17"/>
          <w:szCs w:val="17"/>
          <w:color w:val="auto"/>
        </w:rPr>
        <w:t>. Each Credit Party hereby expressly acknowledges the terms of this Joinder and Amendment Agreement and reaffirms, as of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hereof, (i) the covenants, guarantees, pledges, grants of Liens and agreements or other commitments contained in each Credit Document to which it is a party, including, in each case, such covenants, guarantees, pledges, grants of Liens and agreements or other commitments as in effect immediately after giving effect to this Joinder and Amendment Agreement and the transactions contemplated hereby, (ii) its guarantee of the Obligations (including, without limitation, the Initial Revolving Credit Commitments (including the New Revolving Credit Commitments)) under each Guarantee, as applicable, (iii) its grant of Liens on the Collateral to secure the Obligations (including, without limitation, the Obligations with respect to the Initial Revolving Credit Commitments (including the New Revolving Credit Commitments)) pursuant to the Security Documents and (iv) agrees that (A) each Credit Document to which it is a party shall continue to be in full force and effect and (B) all guarantees, pledges, grants of Liens, covenants, agreements and other commitments by such Credit Party under the Credit Documents shall continue to be in full force and effect and shall accrue to the benefit of the Secured Parties and shall not be affected, impaired or discharged hereby or by the transactions contemplated in this Joinder and Amendment Agreement.</w:t>
      </w:r>
    </w:p>
    <w:p>
      <w:pPr>
        <w:spacing w:after="0" w:line="201" w:lineRule="exact"/>
        <w:rPr>
          <w:rFonts w:ascii="Arial" w:cs="Arial" w:eastAsia="Arial" w:hAnsi="Arial"/>
          <w:sz w:val="17"/>
          <w:szCs w:val="17"/>
          <w:color w:val="auto"/>
        </w:rPr>
      </w:pPr>
    </w:p>
    <w:p>
      <w:pPr>
        <w:ind w:left="652" w:right="140" w:hanging="652"/>
        <w:spacing w:after="0" w:line="270" w:lineRule="auto"/>
        <w:tabs>
          <w:tab w:leader="none" w:pos="652"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Effect of Amendment</w:t>
      </w:r>
      <w:r>
        <w:rPr>
          <w:rFonts w:ascii="Arial" w:cs="Arial" w:eastAsia="Arial" w:hAnsi="Arial"/>
          <w:sz w:val="17"/>
          <w:szCs w:val="17"/>
          <w:color w:val="auto"/>
        </w:rPr>
        <w:t>. Except as expressly set forth herein, this Agreement shall not by implication or otherwise limit, impair, constitute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of, or otherwise affect the rights and remedies of, the Lenders or the Administrative Agent under the Credit Agreement or any other Credit Document, and shall not alter, modify, amend or in any way affect any of the terms, conditions, obligations, covenants or agreements contained in the Credit Agreement or any other Credit Document, all of which are ratified and affirmed in all respects and shall continue in full force and effect. The parties hereto acknowledge and agree that the amendment of the Credit Agreement pursuant to this Agreement and all other Credit Documents amended and/or executed and delivered in connection herewith shall not constitute a novation of the Credit Agreement and the other Credit Documents as in effect prior to the date hereof. Nothing herein shall be deemed to establish a precedent for purposes of interpreting the provisions of the Credit Agreement or entitle any Credit Party to a consent to, or a waiver, amendment, modification or other change of, any of the terms, conditions, obligations, covenants or agreements contained in the Credit Agreement or any other Credit Document in similar or different circumstances. This Agreement shall apply to and be effective only with respect to the provisions of the Credit Agreement and the other Credit Documents specifically referred to herein.</w:t>
      </w:r>
    </w:p>
    <w:p>
      <w:pPr>
        <w:spacing w:after="0" w:line="3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364" w:right="259" w:bottom="1440" w:gutter="0" w:footer="0" w:header="0"/>
        </w:sectPr>
      </w:pPr>
    </w:p>
    <w:bookmarkStart w:id="72" w:name="page73"/>
    <w:bookmarkEnd w:id="72"/>
    <w:p>
      <w:pPr>
        <w:ind w:left="652" w:right="180" w:hanging="652"/>
        <w:spacing w:after="0" w:line="258" w:lineRule="auto"/>
        <w:tabs>
          <w:tab w:leader="none" w:pos="65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Acknowledgment and Consent to Bail-In</w:t>
      </w:r>
      <w:r>
        <w:rPr>
          <w:rFonts w:ascii="Arial" w:cs="Arial" w:eastAsia="Arial" w:hAnsi="Arial"/>
          <w:sz w:val="18"/>
          <w:szCs w:val="18"/>
          <w:color w:val="auto"/>
        </w:rPr>
        <w:t>. Notwithstanding anything to the contrary in any Credit Document or in any other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or understanding among any such parties, each party hereto acknowledges that any liability of any Revolving Credit Lender that is an EEA Financial Institution (as defined below) arising under any Credit Document, to the extent such liability is unsecured, may be subject to the Write-Down and Conversion Powers of an EEA Resolution Authority (each as defined below) and agrees and consents to, and acknowledges and agrees to be bound by:</w:t>
      </w:r>
    </w:p>
    <w:p>
      <w:pPr>
        <w:spacing w:after="0" w:line="214" w:lineRule="exact"/>
        <w:rPr>
          <w:rFonts w:ascii="Arial" w:cs="Arial" w:eastAsia="Arial" w:hAnsi="Arial"/>
          <w:sz w:val="18"/>
          <w:szCs w:val="18"/>
          <w:color w:val="auto"/>
        </w:rPr>
      </w:pPr>
    </w:p>
    <w:p>
      <w:pPr>
        <w:ind w:left="1292" w:right="60" w:hanging="644"/>
        <w:spacing w:after="0" w:line="277" w:lineRule="auto"/>
        <w:tabs>
          <w:tab w:leader="none" w:pos="12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party hereto that is an EEA Financial Institution; and</w:t>
      </w:r>
    </w:p>
    <w:p>
      <w:pPr>
        <w:spacing w:after="0" w:line="197" w:lineRule="exact"/>
        <w:rPr>
          <w:rFonts w:ascii="Arial" w:cs="Arial" w:eastAsia="Arial" w:hAnsi="Arial"/>
          <w:sz w:val="18"/>
          <w:szCs w:val="18"/>
          <w:color w:val="auto"/>
        </w:rPr>
      </w:pPr>
    </w:p>
    <w:p>
      <w:pPr>
        <w:ind w:left="1292" w:hanging="644"/>
        <w:spacing w:after="0"/>
        <w:tabs>
          <w:tab w:leader="none" w:pos="12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effects of any Bail-in Action (as defined below) on any such liability, including, if applicable:</w:t>
      </w:r>
    </w:p>
    <w:p>
      <w:pPr>
        <w:spacing w:after="0" w:line="279" w:lineRule="exact"/>
        <w:rPr>
          <w:rFonts w:ascii="Arial" w:cs="Arial" w:eastAsia="Arial" w:hAnsi="Arial"/>
          <w:sz w:val="18"/>
          <w:szCs w:val="18"/>
          <w:color w:val="auto"/>
        </w:rPr>
      </w:pPr>
    </w:p>
    <w:p>
      <w:pPr>
        <w:ind w:left="2732" w:hanging="787"/>
        <w:spacing w:after="0"/>
        <w:tabs>
          <w:tab w:leader="none" w:pos="2732" w:val="left"/>
        </w:tabs>
        <w:numPr>
          <w:ilvl w:val="2"/>
          <w:numId w:val="6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79" w:lineRule="exact"/>
        <w:rPr>
          <w:rFonts w:ascii="Arial" w:cs="Arial" w:eastAsia="Arial" w:hAnsi="Arial"/>
          <w:sz w:val="18"/>
          <w:szCs w:val="18"/>
          <w:color w:val="auto"/>
        </w:rPr>
      </w:pPr>
    </w:p>
    <w:p>
      <w:pPr>
        <w:ind w:left="1292" w:right="200" w:firstLine="653"/>
        <w:spacing w:after="0" w:line="259" w:lineRule="auto"/>
        <w:tabs>
          <w:tab w:leader="none" w:pos="27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company,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240" w:lineRule="exact"/>
        <w:rPr>
          <w:rFonts w:ascii="Arial" w:cs="Arial" w:eastAsia="Arial" w:hAnsi="Arial"/>
          <w:sz w:val="18"/>
          <w:szCs w:val="18"/>
          <w:color w:val="auto"/>
        </w:rPr>
      </w:pPr>
    </w:p>
    <w:p>
      <w:pPr>
        <w:ind w:left="1292" w:right="40" w:firstLine="653"/>
        <w:spacing w:after="0" w:line="277" w:lineRule="auto"/>
        <w:tabs>
          <w:tab w:leader="none" w:pos="27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97" w:lineRule="exact"/>
        <w:rPr>
          <w:sz w:val="20"/>
          <w:szCs w:val="20"/>
          <w:color w:val="auto"/>
        </w:rPr>
      </w:pPr>
    </w:p>
    <w:p>
      <w:pPr>
        <w:ind w:left="652" w:right="40"/>
        <w:spacing w:after="0" w:line="277" w:lineRule="auto"/>
        <w:rPr>
          <w:sz w:val="20"/>
          <w:szCs w:val="20"/>
          <w:color w:val="auto"/>
        </w:rPr>
      </w:pPr>
      <w:r>
        <w:rPr>
          <w:rFonts w:ascii="Arial" w:cs="Arial" w:eastAsia="Arial" w:hAnsi="Arial"/>
          <w:sz w:val="18"/>
          <w:szCs w:val="18"/>
          <w:color w:val="auto"/>
        </w:rPr>
        <w:t xml:space="preserve">Each Revolving Credit Lender acknowledges that if it or its direct or indirect parent company becomes the subject of the provisions described in this </w:t>
      </w:r>
      <w:r>
        <w:rPr>
          <w:rFonts w:ascii="Arial" w:cs="Arial" w:eastAsia="Arial" w:hAnsi="Arial"/>
          <w:sz w:val="18"/>
          <w:szCs w:val="18"/>
          <w:u w:val="single" w:color="auto"/>
          <w:color w:val="auto"/>
        </w:rPr>
        <w:t>Section 16</w:t>
      </w:r>
      <w:r>
        <w:rPr>
          <w:rFonts w:ascii="Arial" w:cs="Arial" w:eastAsia="Arial" w:hAnsi="Arial"/>
          <w:sz w:val="18"/>
          <w:szCs w:val="18"/>
          <w:color w:val="auto"/>
        </w:rPr>
        <w:t>, it will constitute a Defaulting Lender under the Credit Agreement.</w:t>
      </w:r>
    </w:p>
    <w:p>
      <w:pPr>
        <w:spacing w:after="0" w:line="19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52" w:lineRule="exact"/>
        <w:rPr>
          <w:sz w:val="20"/>
          <w:szCs w:val="20"/>
          <w:color w:val="auto"/>
        </w:rPr>
      </w:pPr>
    </w:p>
    <w:p>
      <w:pPr>
        <w:ind w:left="1292"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97" w:lineRule="exact"/>
        <w:rPr>
          <w:sz w:val="20"/>
          <w:szCs w:val="20"/>
          <w:color w:val="auto"/>
        </w:rPr>
      </w:pPr>
    </w:p>
    <w:p>
      <w:pPr>
        <w:ind w:left="652"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(as defined below) implementing Article 55 of Directive 2014/59/EU of the European Parliament and of the Council of the European Union, the implementing law for such EEA Member Country from time to time which is described in the EU Bail-In Legislation Schedule (as defined below);</w:t>
      </w:r>
    </w:p>
    <w:p>
      <w:pPr>
        <w:spacing w:after="0" w:line="208" w:lineRule="exact"/>
        <w:rPr>
          <w:sz w:val="20"/>
          <w:szCs w:val="20"/>
          <w:color w:val="auto"/>
        </w:rPr>
      </w:pPr>
    </w:p>
    <w:p>
      <w:pPr>
        <w:ind w:left="652"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214"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52" w:lineRule="exact"/>
        <w:rPr>
          <w:sz w:val="20"/>
          <w:szCs w:val="20"/>
          <w:color w:val="auto"/>
        </w:rPr>
      </w:pPr>
    </w:p>
    <w:p>
      <w:pPr>
        <w:ind w:left="652"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37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364" w:right="259" w:bottom="1440" w:gutter="0" w:footer="0" w:header="0"/>
        </w:sectPr>
      </w:pPr>
    </w:p>
    <w:bookmarkStart w:id="73" w:name="page74"/>
    <w:bookmarkEnd w:id="73"/>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 and</w:t>
      </w:r>
    </w:p>
    <w:p>
      <w:pPr>
        <w:spacing w:after="0" w:line="19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[signature pages to follow]</w:t>
      </w:r>
    </w:p>
    <w:p>
      <w:pPr>
        <w:spacing w:after="0" w:line="200" w:lineRule="exact"/>
        <w:rPr>
          <w:sz w:val="20"/>
          <w:szCs w:val="20"/>
          <w:color w:val="auto"/>
        </w:rPr>
      </w:pPr>
    </w:p>
    <w:p>
      <w:pPr>
        <w:spacing w:after="0" w:line="22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900" w:top="368" w:right="259" w:bottom="1440" w:gutter="0" w:footer="0" w:header="0"/>
        </w:sectPr>
      </w:pPr>
    </w:p>
    <w:bookmarkStart w:id="74" w:name="page75"/>
    <w:bookmarkEnd w:id="74"/>
    <w:p>
      <w:pPr>
        <w:ind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caused its duly authorized officer to execute and deliver this Joinder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Agreement as of the date first set forth above.</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NATIONAL VISION,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NAUTILUS ACQUISITION HOLDINGS,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OPTI-VISION FINANCE SERVICES,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ARLINGTON CONTACT LENS SERVICE,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VC IV,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NVAL HEALTHCARE SYSTEMS,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0"/>
          </w:cols>
          <w:pgMar w:left="240" w:top="364" w:right="959" w:bottom="1440" w:gutter="0" w:footer="0" w:header="0"/>
        </w:sectPr>
      </w:pPr>
    </w:p>
    <w:bookmarkStart w:id="75" w:name="page76"/>
    <w:bookmarkEnd w:id="75"/>
    <w:p>
      <w:pPr>
        <w:ind w:left="4520"/>
        <w:spacing w:after="0"/>
        <w:rPr>
          <w:sz w:val="20"/>
          <w:szCs w:val="20"/>
          <w:color w:val="auto"/>
        </w:rPr>
      </w:pPr>
      <w:r>
        <w:rPr>
          <w:rFonts w:ascii="Arial" w:cs="Arial" w:eastAsia="Arial" w:hAnsi="Arial"/>
          <w:sz w:val="18"/>
          <w:szCs w:val="18"/>
          <w:b w:val="1"/>
          <w:bCs w:val="1"/>
          <w:color w:val="auto"/>
        </w:rPr>
        <w:t>INTERNATIONAL VISION ASSOCIATES, LTD.</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Mitchell Goodman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and Amendment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440"/>
          </w:cols>
          <w:pgMar w:left="1440" w:top="364" w:right="1019" w:bottom="1440" w:gutter="0" w:footer="0" w:header="0"/>
        </w:sectPr>
      </w:pPr>
    </w:p>
    <w:bookmarkStart w:id="76" w:name="page77"/>
    <w:bookmarkEnd w:id="76"/>
    <w:p>
      <w:pPr>
        <w:ind w:left="4520"/>
        <w:spacing w:after="0"/>
        <w:rPr>
          <w:sz w:val="20"/>
          <w:szCs w:val="20"/>
          <w:color w:val="auto"/>
        </w:rPr>
      </w:pPr>
      <w:r>
        <w:rPr>
          <w:rFonts w:ascii="Arial" w:cs="Arial" w:eastAsia="Arial" w:hAnsi="Arial"/>
          <w:sz w:val="17"/>
          <w:szCs w:val="17"/>
          <w:b w:val="1"/>
          <w:bCs w:val="1"/>
          <w:color w:val="auto"/>
        </w:rPr>
        <w:t>MORGAN STANLEY BANK, N.A.</w:t>
      </w:r>
      <w:r>
        <w:rPr>
          <w:rFonts w:ascii="Arial" w:cs="Arial" w:eastAsia="Arial" w:hAnsi="Arial"/>
          <w:sz w:val="17"/>
          <w:szCs w:val="17"/>
          <w:color w:val="auto"/>
        </w:rPr>
        <w:t>, as Revolving Credit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Brendan MacBride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Brendan MacBride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and Amendment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340"/>
          </w:cols>
          <w:pgMar w:left="1440" w:top="364" w:right="1119" w:bottom="1440" w:gutter="0" w:footer="0" w:header="0"/>
        </w:sectPr>
      </w:pPr>
    </w:p>
    <w:bookmarkStart w:id="77" w:name="page78"/>
    <w:bookmarkEnd w:id="77"/>
    <w:p>
      <w:pPr>
        <w:ind w:left="4520"/>
        <w:spacing w:after="0"/>
        <w:rPr>
          <w:sz w:val="20"/>
          <w:szCs w:val="20"/>
          <w:color w:val="auto"/>
        </w:rPr>
      </w:pPr>
      <w:r>
        <w:rPr>
          <w:rFonts w:ascii="Arial" w:cs="Arial" w:eastAsia="Arial" w:hAnsi="Arial"/>
          <w:sz w:val="17"/>
          <w:szCs w:val="17"/>
          <w:b w:val="1"/>
          <w:bCs w:val="1"/>
          <w:color w:val="auto"/>
        </w:rPr>
        <w:t>UBS AG, STAMFORD BRANCH</w:t>
      </w:r>
      <w:r>
        <w:rPr>
          <w:rFonts w:ascii="Arial" w:cs="Arial" w:eastAsia="Arial" w:hAnsi="Arial"/>
          <w:sz w:val="17"/>
          <w:szCs w:val="17"/>
          <w:color w:val="auto"/>
        </w:rPr>
        <w:t>, as Revolving Credit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Craig Pearson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Associate Director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Houssem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Houssem Daly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200"/>
          </w:cols>
          <w:pgMar w:left="1440" w:top="364" w:right="1259" w:bottom="1440" w:gutter="0" w:footer="0" w:header="0"/>
        </w:sectPr>
      </w:pPr>
    </w:p>
    <w:bookmarkStart w:id="78" w:name="page79"/>
    <w:bookmarkEnd w:id="78"/>
    <w:p>
      <w:pPr>
        <w:ind w:left="4520"/>
        <w:spacing w:after="0"/>
        <w:rPr>
          <w:sz w:val="20"/>
          <w:szCs w:val="20"/>
          <w:color w:val="auto"/>
        </w:rPr>
      </w:pPr>
      <w:r>
        <w:rPr>
          <w:rFonts w:ascii="Arial" w:cs="Arial" w:eastAsia="Arial" w:hAnsi="Arial"/>
          <w:sz w:val="17"/>
          <w:szCs w:val="17"/>
          <w:b w:val="1"/>
          <w:bCs w:val="1"/>
          <w:color w:val="auto"/>
        </w:rPr>
        <w:t>WELLS FARGO BANK, N.A.</w:t>
      </w:r>
      <w:r>
        <w:rPr>
          <w:rFonts w:ascii="Arial" w:cs="Arial" w:eastAsia="Arial" w:hAnsi="Arial"/>
          <w:sz w:val="17"/>
          <w:szCs w:val="17"/>
          <w:color w:val="auto"/>
        </w:rPr>
        <w:t>, as Revolving Credit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Luke Harbinson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Luke Harbinson</w:t>
      </w:r>
    </w:p>
    <w:p>
      <w:pPr>
        <w:spacing w:after="0" w:line="2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79" w:name="page80"/>
    <w:bookmarkEnd w:id="79"/>
    <w:p>
      <w:pPr>
        <w:ind w:left="4520"/>
        <w:spacing w:after="0"/>
        <w:rPr>
          <w:sz w:val="20"/>
          <w:szCs w:val="20"/>
          <w:color w:val="auto"/>
        </w:rPr>
      </w:pPr>
      <w:r>
        <w:rPr>
          <w:rFonts w:ascii="Arial" w:cs="Arial" w:eastAsia="Arial" w:hAnsi="Arial"/>
          <w:sz w:val="17"/>
          <w:szCs w:val="17"/>
          <w:b w:val="1"/>
          <w:bCs w:val="1"/>
          <w:color w:val="auto"/>
        </w:rPr>
        <w:t>JEFFERIES FINANCE LLC</w:t>
      </w:r>
      <w:r>
        <w:rPr>
          <w:rFonts w:ascii="Arial" w:cs="Arial" w:eastAsia="Arial" w:hAnsi="Arial"/>
          <w:sz w:val="17"/>
          <w:szCs w:val="17"/>
          <w:color w:val="auto"/>
        </w:rPr>
        <w:t>, as Revolving Credit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Buoye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Brian Buoye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80" w:name="page81"/>
    <w:bookmarkEnd w:id="80"/>
    <w:p>
      <w:pPr>
        <w:ind w:left="4520"/>
        <w:spacing w:after="0"/>
        <w:rPr>
          <w:sz w:val="20"/>
          <w:szCs w:val="20"/>
          <w:color w:val="auto"/>
        </w:rPr>
      </w:pPr>
      <w:r>
        <w:rPr>
          <w:rFonts w:ascii="Arial" w:cs="Arial" w:eastAsia="Arial" w:hAnsi="Arial"/>
          <w:sz w:val="17"/>
          <w:szCs w:val="17"/>
          <w:b w:val="1"/>
          <w:bCs w:val="1"/>
          <w:color w:val="auto"/>
        </w:rPr>
        <w:t>MIZUHO BANK, LTD.</w:t>
      </w:r>
      <w:r>
        <w:rPr>
          <w:rFonts w:ascii="Arial" w:cs="Arial" w:eastAsia="Arial" w:hAnsi="Arial"/>
          <w:sz w:val="17"/>
          <w:szCs w:val="17"/>
          <w:color w:val="auto"/>
        </w:rPr>
        <w:t>, as Revolving Credit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R. Fayen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James R. Fayen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81" w:name="page82"/>
    <w:bookmarkEnd w:id="81"/>
    <w:p>
      <w:pPr>
        <w:ind w:left="4520"/>
        <w:spacing w:after="0"/>
        <w:rPr>
          <w:sz w:val="20"/>
          <w:szCs w:val="20"/>
          <w:color w:val="auto"/>
        </w:rPr>
      </w:pPr>
      <w:r>
        <w:rPr>
          <w:rFonts w:ascii="Arial" w:cs="Arial" w:eastAsia="Arial" w:hAnsi="Arial"/>
          <w:sz w:val="17"/>
          <w:szCs w:val="17"/>
          <w:b w:val="1"/>
          <w:bCs w:val="1"/>
          <w:color w:val="auto"/>
        </w:rPr>
        <w:t>MIHI LLC</w:t>
      </w:r>
      <w:r>
        <w:rPr>
          <w:rFonts w:ascii="Arial" w:cs="Arial" w:eastAsia="Arial" w:hAnsi="Arial"/>
          <w:sz w:val="17"/>
          <w:szCs w:val="17"/>
          <w:color w:val="auto"/>
        </w:rPr>
        <w:t>, as Revolving Credit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Ayesha Farooqi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Ayesha Farooqi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Barrish</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82" w:name="page83"/>
    <w:bookmarkEnd w:id="82"/>
    <w:p>
      <w:pPr>
        <w:ind w:left="4520"/>
        <w:spacing w:after="0"/>
        <w:rPr>
          <w:sz w:val="20"/>
          <w:szCs w:val="20"/>
          <w:color w:val="auto"/>
        </w:rPr>
      </w:pPr>
      <w:r>
        <w:rPr>
          <w:rFonts w:ascii="Arial" w:cs="Arial" w:eastAsia="Arial" w:hAnsi="Arial"/>
          <w:sz w:val="16"/>
          <w:szCs w:val="16"/>
          <w:b w:val="1"/>
          <w:bCs w:val="1"/>
          <w:color w:val="auto"/>
        </w:rPr>
        <w:t>KKR Corporate Lending LLC</w:t>
      </w:r>
      <w:r>
        <w:rPr>
          <w:rFonts w:ascii="Arial" w:cs="Arial" w:eastAsia="Arial" w:hAnsi="Arial"/>
          <w:sz w:val="16"/>
          <w:szCs w:val="16"/>
          <w:color w:val="auto"/>
        </w:rPr>
        <w:t>, as Revolving Credit Lender</w:t>
      </w:r>
    </w:p>
    <w:p>
      <w:pPr>
        <w:spacing w:after="0" w:line="25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Cade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 Cade Thompson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83" w:name="page84"/>
    <w:bookmarkEnd w:id="83"/>
    <w:p>
      <w:pPr>
        <w:ind w:left="4520"/>
        <w:spacing w:after="0"/>
        <w:rPr>
          <w:sz w:val="20"/>
          <w:szCs w:val="20"/>
          <w:color w:val="auto"/>
        </w:rPr>
      </w:pPr>
      <w:r>
        <w:rPr>
          <w:rFonts w:ascii="Arial" w:cs="Arial" w:eastAsia="Arial" w:hAnsi="Arial"/>
          <w:sz w:val="17"/>
          <w:szCs w:val="17"/>
          <w:b w:val="1"/>
          <w:bCs w:val="1"/>
          <w:color w:val="auto"/>
        </w:rPr>
        <w:t>BARCLAYS BANK PLC</w:t>
      </w:r>
      <w:r>
        <w:rPr>
          <w:rFonts w:ascii="Arial" w:cs="Arial" w:eastAsia="Arial" w:hAnsi="Arial"/>
          <w:sz w:val="17"/>
          <w:szCs w:val="17"/>
          <w:color w:val="auto"/>
        </w:rPr>
        <w:t>, as Revolving Credit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Marguerite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Marguerite Sutton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and Amendment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84" w:name="page85"/>
    <w:bookmarkEnd w:id="84"/>
    <w:p>
      <w:pPr>
        <w:ind w:left="4520"/>
        <w:spacing w:after="0" w:line="282" w:lineRule="auto"/>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Letter of Credit Issuer and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 Strickert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David H. Strickert</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and Amendment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80"/>
          </w:cols>
          <w:pgMar w:left="1440" w:top="364" w:right="279" w:bottom="1440" w:gutter="0" w:footer="0" w:header="0"/>
        </w:sectPr>
      </w:pPr>
    </w:p>
    <w:bookmarkStart w:id="85" w:name="page86"/>
    <w:bookmarkEnd w:id="85"/>
    <w:p>
      <w:pPr>
        <w:ind w:left="4520"/>
        <w:spacing w:after="0"/>
        <w:rPr>
          <w:sz w:val="20"/>
          <w:szCs w:val="20"/>
          <w:color w:val="auto"/>
        </w:rPr>
      </w:pPr>
      <w:r>
        <w:rPr>
          <w:rFonts w:ascii="Arial" w:cs="Arial" w:eastAsia="Arial" w:hAnsi="Arial"/>
          <w:sz w:val="16"/>
          <w:szCs w:val="16"/>
          <w:b w:val="1"/>
          <w:bCs w:val="1"/>
          <w:color w:val="auto"/>
        </w:rPr>
        <w:t>CITIBANK, N.A.</w:t>
      </w:r>
      <w:r>
        <w:rPr>
          <w:rFonts w:ascii="Arial" w:cs="Arial" w:eastAsia="Arial" w:hAnsi="Arial"/>
          <w:sz w:val="16"/>
          <w:szCs w:val="16"/>
          <w:color w:val="auto"/>
        </w:rPr>
        <w:t>, as Letter of Credit Issuer and Revolving Credit Lender</w:t>
      </w:r>
    </w:p>
    <w:p>
      <w:pPr>
        <w:spacing w:after="0" w:line="25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Alvaro De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Alvaro De Velasco</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and Amendment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900"/>
          </w:cols>
          <w:pgMar w:left="1440" w:top="364" w:right="559" w:bottom="1440" w:gutter="0" w:footer="0" w:header="0"/>
        </w:sectPr>
      </w:pPr>
    </w:p>
    <w:bookmarkStart w:id="86" w:name="page87"/>
    <w:bookmarkEnd w:id="86"/>
    <w:p>
      <w:pPr>
        <w:ind w:left="4520"/>
        <w:spacing w:after="0"/>
        <w:rPr>
          <w:sz w:val="20"/>
          <w:szCs w:val="20"/>
          <w:color w:val="auto"/>
        </w:rPr>
      </w:pPr>
      <w:r>
        <w:rPr>
          <w:rFonts w:ascii="Arial" w:cs="Arial" w:eastAsia="Arial" w:hAnsi="Arial"/>
          <w:sz w:val="18"/>
          <w:szCs w:val="18"/>
          <w:color w:val="auto"/>
        </w:rPr>
        <w:t>Agreed and Consented to by:</w:t>
      </w:r>
    </w:p>
    <w:p>
      <w:pPr>
        <w:spacing w:after="0" w:line="221" w:lineRule="exact"/>
        <w:rPr>
          <w:sz w:val="20"/>
          <w:szCs w:val="20"/>
          <w:color w:val="auto"/>
        </w:rPr>
      </w:pPr>
    </w:p>
    <w:p>
      <w:pPr>
        <w:ind w:left="4520"/>
        <w:spacing w:after="0" w:line="347" w:lineRule="auto"/>
        <w:rPr>
          <w:sz w:val="20"/>
          <w:szCs w:val="20"/>
          <w:color w:val="auto"/>
        </w:rPr>
      </w:pPr>
      <w:r>
        <w:rPr>
          <w:rFonts w:ascii="Arial" w:cs="Arial" w:eastAsia="Arial" w:hAnsi="Arial"/>
          <w:sz w:val="16"/>
          <w:szCs w:val="16"/>
          <w:b w:val="1"/>
          <w:bCs w:val="1"/>
          <w:color w:val="auto"/>
        </w:rPr>
        <w:t>GOLDMAN SACHS BANK USA</w:t>
      </w:r>
      <w:r>
        <w:rPr>
          <w:rFonts w:ascii="Arial" w:cs="Arial" w:eastAsia="Arial" w:hAnsi="Arial"/>
          <w:sz w:val="16"/>
          <w:szCs w:val="16"/>
          <w:color w:val="auto"/>
        </w:rPr>
        <w:t>, as Administrative Agent,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Agent, Swingline Lender Letter of Credit Issuer and Revolving Credit Lender</w:t>
      </w:r>
    </w:p>
    <w:p>
      <w:pPr>
        <w:spacing w:after="0" w:line="12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Robert Ehudin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and Amendment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74930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20"/>
          </w:cols>
          <w:pgMar w:left="1440" w:top="36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OMNIBUS INCENTIVE PLAN</w:t>
      </w:r>
    </w:p>
    <w:p>
      <w:pPr>
        <w:spacing w:after="0" w:line="261" w:lineRule="exact"/>
        <w:rPr>
          <w:sz w:val="20"/>
          <w:szCs w:val="20"/>
          <w:color w:val="auto"/>
        </w:rPr>
      </w:pPr>
    </w:p>
    <w:p>
      <w:pPr>
        <w:ind w:right="60" w:firstLine="656"/>
        <w:spacing w:after="0" w:line="277" w:lineRule="auto"/>
        <w:tabs>
          <w:tab w:leader="none" w:pos="1485"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Purpose</w:t>
      </w:r>
      <w:r>
        <w:rPr>
          <w:rFonts w:ascii="Arial" w:cs="Arial" w:eastAsia="Arial" w:hAnsi="Arial"/>
          <w:sz w:val="17"/>
          <w:szCs w:val="17"/>
          <w:color w:val="auto"/>
        </w:rPr>
        <w:t>. The purpose of the National Vision Holdings, Inc. 2017 Omnibus Incentive Plan is to provide a means through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including incentive compensation measured by reference to the value of Common Stock, thereby strengthening their commitment to the welfare of the Company Group and aligning their interests with those of the Company’s stockholders.</w:t>
      </w:r>
    </w:p>
    <w:p>
      <w:pPr>
        <w:spacing w:after="0" w:line="222" w:lineRule="exact"/>
        <w:rPr>
          <w:rFonts w:ascii="Arial" w:cs="Arial" w:eastAsia="Arial" w:hAnsi="Arial"/>
          <w:sz w:val="17"/>
          <w:szCs w:val="17"/>
          <w:b w:val="1"/>
          <w:bCs w:val="1"/>
          <w:color w:val="auto"/>
        </w:rPr>
      </w:pPr>
    </w:p>
    <w:p>
      <w:pPr>
        <w:ind w:left="1500" w:hanging="844"/>
        <w:spacing w:after="0"/>
        <w:tabs>
          <w:tab w:leader="none" w:pos="1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shall be applicable throughout the Plan.</w:t>
      </w:r>
    </w:p>
    <w:p>
      <w:pPr>
        <w:spacing w:after="0" w:line="283" w:lineRule="exact"/>
        <w:rPr>
          <w:rFonts w:ascii="Arial" w:cs="Arial" w:eastAsia="Arial" w:hAnsi="Arial"/>
          <w:sz w:val="18"/>
          <w:szCs w:val="18"/>
          <w:b w:val="1"/>
          <w:bCs w:val="1"/>
          <w:color w:val="auto"/>
        </w:rPr>
      </w:pPr>
    </w:p>
    <w:p>
      <w:pPr>
        <w:ind w:left="1480" w:hanging="743"/>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Absolute Share Limit</w:t>
      </w:r>
      <w:r>
        <w:rPr>
          <w:rFonts w:ascii="Arial" w:cs="Arial" w:eastAsia="Arial" w:hAnsi="Arial"/>
          <w:sz w:val="18"/>
          <w:szCs w:val="18"/>
          <w:color w:val="auto"/>
        </w:rPr>
        <w:t>” has the meaning given to such term in Section 5(b) of the Plan.</w:t>
      </w:r>
    </w:p>
    <w:p>
      <w:pPr>
        <w:spacing w:after="0" w:line="279" w:lineRule="exact"/>
        <w:rPr>
          <w:rFonts w:ascii="Arial" w:cs="Arial" w:eastAsia="Arial" w:hAnsi="Arial"/>
          <w:sz w:val="18"/>
          <w:szCs w:val="18"/>
          <w:color w:val="auto"/>
        </w:rPr>
      </w:pPr>
    </w:p>
    <w:p>
      <w:pPr>
        <w:ind w:left="1480" w:hanging="743"/>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Event</w:t>
      </w:r>
      <w:r>
        <w:rPr>
          <w:rFonts w:ascii="Arial" w:cs="Arial" w:eastAsia="Arial" w:hAnsi="Arial"/>
          <w:sz w:val="18"/>
          <w:szCs w:val="18"/>
          <w:color w:val="auto"/>
        </w:rPr>
        <w:t>” has the meaning given to such term in Section 12(a) of the Plan.</w:t>
      </w:r>
    </w:p>
    <w:p>
      <w:pPr>
        <w:spacing w:after="0" w:line="279" w:lineRule="exact"/>
        <w:rPr>
          <w:rFonts w:ascii="Arial" w:cs="Arial" w:eastAsia="Arial" w:hAnsi="Arial"/>
          <w:sz w:val="18"/>
          <w:szCs w:val="18"/>
          <w:color w:val="auto"/>
        </w:rPr>
      </w:pPr>
    </w:p>
    <w:p>
      <w:pPr>
        <w:ind w:left="80" w:firstLine="657"/>
        <w:spacing w:after="0" w:line="259" w:lineRule="auto"/>
        <w:tabs>
          <w:tab w:leader="none" w:pos="146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240" w:lineRule="exact"/>
        <w:rPr>
          <w:rFonts w:ascii="Arial" w:cs="Arial" w:eastAsia="Arial" w:hAnsi="Arial"/>
          <w:sz w:val="18"/>
          <w:szCs w:val="18"/>
          <w:color w:val="auto"/>
        </w:rPr>
      </w:pPr>
    </w:p>
    <w:p>
      <w:pPr>
        <w:ind w:left="80" w:right="680" w:firstLine="657"/>
        <w:spacing w:after="0" w:line="308" w:lineRule="auto"/>
        <w:tabs>
          <w:tab w:leader="none" w:pos="1478" w:val="left"/>
        </w:tabs>
        <w:numPr>
          <w:ilvl w:val="1"/>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any Incentive Stock Option, Nonqualified Stock Option, Stock Appreciation Right, Restricted Stock, Restricted Stock Unit, Other Equity-Based Award and Cash-Based Incentive Award granted under the Plan.</w:t>
      </w:r>
    </w:p>
    <w:p>
      <w:pPr>
        <w:spacing w:after="0" w:line="200" w:lineRule="exact"/>
        <w:rPr>
          <w:rFonts w:ascii="Arial" w:cs="Arial" w:eastAsia="Arial" w:hAnsi="Arial"/>
          <w:sz w:val="17"/>
          <w:szCs w:val="17"/>
          <w:color w:val="auto"/>
        </w:rPr>
      </w:pPr>
    </w:p>
    <w:p>
      <w:pPr>
        <w:ind w:left="1480" w:hanging="743"/>
        <w:spacing w:after="0"/>
        <w:tabs>
          <w:tab w:leader="none" w:pos="14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the document or documents by which each Award (other than a Cash-Based Incentive Award) is evidenced.</w:t>
      </w:r>
    </w:p>
    <w:p>
      <w:pPr>
        <w:spacing w:after="0" w:line="302" w:lineRule="exact"/>
        <w:rPr>
          <w:rFonts w:ascii="Arial" w:cs="Arial" w:eastAsia="Arial" w:hAnsi="Arial"/>
          <w:sz w:val="16"/>
          <w:szCs w:val="16"/>
          <w:color w:val="auto"/>
        </w:rPr>
      </w:pPr>
    </w:p>
    <w:p>
      <w:pPr>
        <w:ind w:left="1520" w:hanging="783"/>
        <w:spacing w:after="0"/>
        <w:tabs>
          <w:tab w:leader="none" w:pos="15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79" w:lineRule="exact"/>
        <w:rPr>
          <w:rFonts w:ascii="Arial" w:cs="Arial" w:eastAsia="Arial" w:hAnsi="Arial"/>
          <w:sz w:val="18"/>
          <w:szCs w:val="18"/>
          <w:color w:val="auto"/>
        </w:rPr>
      </w:pPr>
    </w:p>
    <w:p>
      <w:pPr>
        <w:ind w:left="1480" w:hanging="743"/>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Cash-Based Incentive Award</w:t>
      </w:r>
      <w:r>
        <w:rPr>
          <w:rFonts w:ascii="Arial" w:cs="Arial" w:eastAsia="Arial" w:hAnsi="Arial"/>
          <w:sz w:val="18"/>
          <w:szCs w:val="18"/>
          <w:color w:val="auto"/>
        </w:rPr>
        <w:t>” means an Award denominated in cash that is granted under Section 11 of the Plan.</w:t>
      </w:r>
    </w:p>
    <w:p>
      <w:pPr>
        <w:spacing w:after="0" w:line="279" w:lineRule="exact"/>
        <w:rPr>
          <w:rFonts w:ascii="Arial" w:cs="Arial" w:eastAsia="Arial" w:hAnsi="Arial"/>
          <w:sz w:val="18"/>
          <w:szCs w:val="18"/>
          <w:color w:val="auto"/>
        </w:rPr>
      </w:pPr>
    </w:p>
    <w:p>
      <w:pPr>
        <w:ind w:left="80" w:firstLine="657"/>
        <w:spacing w:after="0" w:line="255" w:lineRule="auto"/>
        <w:tabs>
          <w:tab w:leader="none" w:pos="147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as to any Participant, unless the applicable Award Agreement states otherwise, (i) “Cause,” as defined in any employment or consulting agreement between the Participant and the Service Recipient in effect at the time of such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88" w:name="page89"/>
    <w:bookmarkEnd w:id="88"/>
    <w:p>
      <w:pPr>
        <w:spacing w:after="0" w:line="255" w:lineRule="auto"/>
        <w:rPr>
          <w:sz w:val="20"/>
          <w:szCs w:val="20"/>
          <w:color w:val="auto"/>
        </w:rPr>
      </w:pPr>
      <w:r>
        <w:rPr>
          <w:rFonts w:ascii="Arial" w:cs="Arial" w:eastAsia="Arial" w:hAnsi="Arial"/>
          <w:sz w:val="18"/>
          <w:szCs w:val="18"/>
          <w:color w:val="auto"/>
        </w:rPr>
        <w:t>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247" w:lineRule="exact"/>
        <w:rPr>
          <w:sz w:val="20"/>
          <w:szCs w:val="20"/>
          <w:color w:val="auto"/>
        </w:rPr>
      </w:pPr>
    </w:p>
    <w:p>
      <w:pPr>
        <w:ind w:left="1420" w:hanging="763"/>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79" w:lineRule="exact"/>
        <w:rPr>
          <w:rFonts w:ascii="Arial" w:cs="Arial" w:eastAsia="Arial" w:hAnsi="Arial"/>
          <w:sz w:val="18"/>
          <w:szCs w:val="18"/>
          <w:color w:val="auto"/>
        </w:rPr>
      </w:pPr>
    </w:p>
    <w:p>
      <w:pPr>
        <w:ind w:left="580" w:right="60" w:firstLine="645"/>
        <w:spacing w:after="0" w:line="270" w:lineRule="auto"/>
        <w:tabs>
          <w:tab w:leader="none" w:pos="1938"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the acquisition (whether by purchase, merger, consolidation, combination or other similar transaction) by any Person of beneficial ownership (within the meaning of Rule 13d-3 promulgated under the Exchange Act) of more than 50% (on a fully diluted basis)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this Plan, the following acquisitions shall not constitute a Change in Control: (I) any acquisition by the Company or</w:t>
      </w:r>
      <w:r>
        <w:rPr>
          <w:rFonts w:ascii="Arial" w:cs="Arial" w:eastAsia="Arial" w:hAnsi="Arial"/>
          <w:sz w:val="17"/>
          <w:szCs w:val="17"/>
          <w:i w:val="1"/>
          <w:iCs w:val="1"/>
          <w:color w:val="auto"/>
        </w:rPr>
        <w:t xml:space="preserve"> </w:t>
      </w:r>
      <w:r>
        <w:rPr>
          <w:rFonts w:ascii="Arial" w:cs="Arial" w:eastAsia="Arial" w:hAnsi="Arial"/>
          <w:sz w:val="17"/>
          <w:szCs w:val="17"/>
          <w:color w:val="auto"/>
        </w:rPr>
        <w:t>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spacing w:after="0" w:line="235" w:lineRule="exact"/>
        <w:rPr>
          <w:rFonts w:ascii="Arial" w:cs="Arial" w:eastAsia="Arial" w:hAnsi="Arial"/>
          <w:sz w:val="17"/>
          <w:szCs w:val="17"/>
          <w:color w:val="auto"/>
        </w:rPr>
      </w:pPr>
    </w:p>
    <w:p>
      <w:pPr>
        <w:ind w:left="580" w:right="40" w:firstLine="645"/>
        <w:spacing w:after="0" w:line="271" w:lineRule="auto"/>
        <w:tabs>
          <w:tab w:leader="none" w:pos="1988" w:val="left"/>
        </w:tabs>
        <w:numPr>
          <w:ilvl w:val="1"/>
          <w:numId w:val="68"/>
        </w:numPr>
        <w:rPr>
          <w:rFonts w:ascii="Arial" w:cs="Arial" w:eastAsia="Arial" w:hAnsi="Arial"/>
          <w:sz w:val="17"/>
          <w:szCs w:val="17"/>
          <w:color w:val="auto"/>
        </w:rPr>
      </w:pPr>
      <w:r>
        <w:rPr>
          <w:rFonts w:ascii="Arial" w:cs="Arial" w:eastAsia="Arial" w:hAnsi="Arial"/>
          <w:sz w:val="17"/>
          <w:szCs w:val="17"/>
          <w:color w:val="auto"/>
        </w:rPr>
        <w:t>during any period of twelve (12) months, individuals who, at the beginning of such period, constitute the Board (the “</w:t>
      </w:r>
      <w:r>
        <w:rPr>
          <w:rFonts w:ascii="Arial" w:cs="Arial" w:eastAsia="Arial" w:hAnsi="Arial"/>
          <w:sz w:val="17"/>
          <w:szCs w:val="17"/>
          <w:u w:val="single" w:color="auto"/>
          <w:color w:val="auto"/>
        </w:rPr>
        <w:t>Incumbent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Directors</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person becoming a director subsequent to the Effective Date,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232" w:lineRule="exact"/>
        <w:rPr>
          <w:rFonts w:ascii="Arial" w:cs="Arial" w:eastAsia="Arial" w:hAnsi="Arial"/>
          <w:sz w:val="17"/>
          <w:szCs w:val="17"/>
          <w:color w:val="auto"/>
        </w:rPr>
      </w:pPr>
    </w:p>
    <w:p>
      <w:pPr>
        <w:ind w:left="580" w:right="400" w:firstLine="645"/>
        <w:spacing w:after="0" w:line="277" w:lineRule="auto"/>
        <w:tabs>
          <w:tab w:leader="none" w:pos="2038"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 Group (taken as a whole) to any Person that is not an Affiliate of the Company.</w:t>
      </w: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611" w:right="239" w:bottom="1440" w:gutter="0" w:footer="0" w:header="0"/>
        </w:sectPr>
      </w:pPr>
    </w:p>
    <w:bookmarkStart w:id="89" w:name="page90"/>
    <w:bookmarkEnd w:id="89"/>
    <w:p>
      <w:pPr>
        <w:jc w:val="both"/>
        <w:ind w:right="240" w:firstLine="657"/>
        <w:spacing w:after="0" w:line="264" w:lineRule="auto"/>
        <w:tabs>
          <w:tab w:leader="none" w:pos="14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235" w:lineRule="exact"/>
        <w:rPr>
          <w:rFonts w:ascii="Arial" w:cs="Arial" w:eastAsia="Arial" w:hAnsi="Arial"/>
          <w:sz w:val="18"/>
          <w:szCs w:val="18"/>
          <w:color w:val="auto"/>
        </w:rPr>
      </w:pPr>
    </w:p>
    <w:p>
      <w:pPr>
        <w:ind w:right="840" w:firstLine="657"/>
        <w:spacing w:after="0" w:line="277" w:lineRule="auto"/>
        <w:tabs>
          <w:tab w:leader="none" w:pos="13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any properly delegated subcommittee thereof or, if no such Compensation Committee or subcommittee thereof exists, the Board.</w:t>
      </w:r>
    </w:p>
    <w:p>
      <w:pPr>
        <w:spacing w:after="0" w:line="224" w:lineRule="exact"/>
        <w:rPr>
          <w:rFonts w:ascii="Arial" w:cs="Arial" w:eastAsia="Arial" w:hAnsi="Arial"/>
          <w:sz w:val="18"/>
          <w:szCs w:val="18"/>
          <w:color w:val="auto"/>
        </w:rPr>
      </w:pPr>
    </w:p>
    <w:p>
      <w:pPr>
        <w:ind w:right="60" w:firstLine="657"/>
        <w:spacing w:after="0" w:line="277" w:lineRule="auto"/>
        <w:tabs>
          <w:tab w:leader="none" w:pos="14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stock or other securities into which such Common Stock may be converted or into which it may be exchanged).</w:t>
      </w:r>
    </w:p>
    <w:p>
      <w:pPr>
        <w:spacing w:after="0" w:line="224" w:lineRule="exact"/>
        <w:rPr>
          <w:rFonts w:ascii="Arial" w:cs="Arial" w:eastAsia="Arial" w:hAnsi="Arial"/>
          <w:sz w:val="18"/>
          <w:szCs w:val="18"/>
          <w:color w:val="auto"/>
        </w:rPr>
      </w:pPr>
    </w:p>
    <w:p>
      <w:pPr>
        <w:ind w:left="1460" w:hanging="803"/>
        <w:spacing w:after="0"/>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National Vision Holdings, Inc., a Delaware corporation, and any successor thereto.</w:t>
      </w:r>
    </w:p>
    <w:p>
      <w:pPr>
        <w:spacing w:after="0" w:line="279" w:lineRule="exact"/>
        <w:rPr>
          <w:rFonts w:ascii="Arial" w:cs="Arial" w:eastAsia="Arial" w:hAnsi="Arial"/>
          <w:sz w:val="18"/>
          <w:szCs w:val="18"/>
          <w:color w:val="auto"/>
        </w:rPr>
      </w:pPr>
    </w:p>
    <w:p>
      <w:pPr>
        <w:ind w:left="1400" w:hanging="743"/>
        <w:spacing w:after="0"/>
        <w:tabs>
          <w:tab w:leader="none" w:pos="1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means, collectively, the Company and its Subsidiaries.</w:t>
      </w:r>
    </w:p>
    <w:p>
      <w:pPr>
        <w:spacing w:after="0" w:line="279" w:lineRule="exact"/>
        <w:rPr>
          <w:rFonts w:ascii="Arial" w:cs="Arial" w:eastAsia="Arial" w:hAnsi="Arial"/>
          <w:sz w:val="18"/>
          <w:szCs w:val="18"/>
          <w:color w:val="auto"/>
        </w:rPr>
      </w:pPr>
    </w:p>
    <w:p>
      <w:pPr>
        <w:ind w:left="1400" w:hanging="743"/>
        <w:spacing w:after="0"/>
        <w:tabs>
          <w:tab w:leader="none" w:pos="14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Grant</w:t>
      </w:r>
      <w:r>
        <w:rPr>
          <w:rFonts w:ascii="Arial" w:cs="Arial" w:eastAsia="Arial" w:hAnsi="Arial"/>
          <w:sz w:val="17"/>
          <w:szCs w:val="17"/>
          <w:color w:val="auto"/>
        </w:rPr>
        <w:t>” means the date on which the granting of an Award is authorized, or such other date as may be specified in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authorization.</w:t>
      </w:r>
    </w:p>
    <w:p>
      <w:pPr>
        <w:spacing w:after="0" w:line="264" w:lineRule="exact"/>
        <w:rPr>
          <w:rFonts w:ascii="Arial" w:cs="Arial" w:eastAsia="Arial" w:hAnsi="Arial"/>
          <w:sz w:val="17"/>
          <w:szCs w:val="17"/>
          <w:color w:val="auto"/>
        </w:rPr>
      </w:pPr>
    </w:p>
    <w:p>
      <w:pPr>
        <w:ind w:right="300" w:firstLine="657"/>
        <w:spacing w:after="0" w:line="277" w:lineRule="auto"/>
        <w:tabs>
          <w:tab w:leader="none" w:pos="13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Subsidiaries</w:t>
      </w:r>
      <w:r>
        <w:rPr>
          <w:rFonts w:ascii="Arial" w:cs="Arial" w:eastAsia="Arial" w:hAnsi="Arial"/>
          <w:sz w:val="18"/>
          <w:szCs w:val="18"/>
          <w:color w:val="auto"/>
        </w:rPr>
        <w:t>” means all members of the Company Group that are organized under the laws of any jurisdiction or country other than the United States of America that may be designated by the Board or the Committee from time to time.</w:t>
      </w:r>
    </w:p>
    <w:p>
      <w:pPr>
        <w:spacing w:after="0" w:line="224" w:lineRule="exact"/>
        <w:rPr>
          <w:rFonts w:ascii="Arial" w:cs="Arial" w:eastAsia="Arial" w:hAnsi="Arial"/>
          <w:sz w:val="18"/>
          <w:szCs w:val="18"/>
          <w:color w:val="auto"/>
        </w:rPr>
      </w:pPr>
    </w:p>
    <w:p>
      <w:pPr>
        <w:ind w:right="20" w:firstLine="657"/>
        <w:spacing w:after="0" w:line="272" w:lineRule="auto"/>
        <w:tabs>
          <w:tab w:leader="none" w:pos="1398" w:val="left"/>
        </w:tabs>
        <w:numPr>
          <w:ilvl w:val="0"/>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as to any Participant, unless the applicable Award Agreement states otherwise, (i) “Disability,” as defined in any employment or consulting agreement between the Participant and the Service Recipient in effect at the time of such Termination; or (ii) in the absence of any such employment or consulting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position at which the Participant was employed or served when such disability commenced. Any determination of whether Disability exists in the absence of a long-term disability plan shall be made by the Company (or its designee) in its sole and absolute discretion.</w:t>
      </w:r>
    </w:p>
    <w:p>
      <w:pPr>
        <w:spacing w:after="0" w:line="231" w:lineRule="exact"/>
        <w:rPr>
          <w:rFonts w:ascii="Arial" w:cs="Arial" w:eastAsia="Arial" w:hAnsi="Arial"/>
          <w:sz w:val="17"/>
          <w:szCs w:val="17"/>
          <w:color w:val="auto"/>
        </w:rPr>
      </w:pPr>
    </w:p>
    <w:p>
      <w:pPr>
        <w:ind w:left="1440" w:hanging="783"/>
        <w:spacing w:after="0"/>
        <w:tabs>
          <w:tab w:leader="none" w:pos="1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October 25, 2017.</w:t>
      </w:r>
    </w:p>
    <w:p>
      <w:pPr>
        <w:spacing w:after="0" w:line="279" w:lineRule="exact"/>
        <w:rPr>
          <w:rFonts w:ascii="Arial" w:cs="Arial" w:eastAsia="Arial" w:hAnsi="Arial"/>
          <w:sz w:val="18"/>
          <w:szCs w:val="18"/>
          <w:color w:val="auto"/>
        </w:rPr>
      </w:pPr>
    </w:p>
    <w:p>
      <w:pPr>
        <w:ind w:firstLine="657"/>
        <w:spacing w:after="0" w:line="255" w:lineRule="auto"/>
        <w:tabs>
          <w:tab w:leader="none" w:pos="1378"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Person</w:t>
      </w:r>
      <w:r>
        <w:rPr>
          <w:rFonts w:ascii="Arial" w:cs="Arial" w:eastAsia="Arial" w:hAnsi="Arial"/>
          <w:sz w:val="18"/>
          <w:szCs w:val="18"/>
          <w:color w:val="auto"/>
        </w:rPr>
        <w:t xml:space="preserve">” means any (i) individual employed by any member of the Company Group;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any member of the Company Group; or (iii) consultant or advisor to any member of the Company Group who may be offered securities registrable pursuant to a registration statement on Form S-8 under the Securities Act, who, in the case of each of clauses (i) through (iii) above has entered into an Award Agreement or who has received written notification from the Committee or its designee that they have been selected to participate in the Plan.</w:t>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638" w:right="239" w:bottom="1440" w:gutter="0" w:footer="0" w:header="0"/>
        </w:sectPr>
      </w:pPr>
    </w:p>
    <w:bookmarkStart w:id="90" w:name="page91"/>
    <w:bookmarkEnd w:id="90"/>
    <w:p>
      <w:pPr>
        <w:ind w:firstLine="657"/>
        <w:spacing w:after="0" w:line="264" w:lineRule="auto"/>
        <w:tabs>
          <w:tab w:leader="none" w:pos="14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235" w:lineRule="exact"/>
        <w:rPr>
          <w:rFonts w:ascii="Arial" w:cs="Arial" w:eastAsia="Arial" w:hAnsi="Arial"/>
          <w:sz w:val="18"/>
          <w:szCs w:val="18"/>
          <w:color w:val="auto"/>
        </w:rPr>
      </w:pPr>
    </w:p>
    <w:p>
      <w:pPr>
        <w:ind w:left="1400" w:hanging="743"/>
        <w:spacing w:after="0"/>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given to such term in Section 7(b) of the Plan.</w:t>
      </w:r>
    </w:p>
    <w:p>
      <w:pPr>
        <w:spacing w:after="0" w:line="279" w:lineRule="exact"/>
        <w:rPr>
          <w:rFonts w:ascii="Arial" w:cs="Arial" w:eastAsia="Arial" w:hAnsi="Arial"/>
          <w:sz w:val="18"/>
          <w:szCs w:val="18"/>
          <w:color w:val="auto"/>
        </w:rPr>
      </w:pPr>
    </w:p>
    <w:p>
      <w:pPr>
        <w:ind w:right="20" w:firstLine="657"/>
        <w:spacing w:after="0" w:line="253" w:lineRule="auto"/>
        <w:tabs>
          <w:tab w:leader="none" w:pos="13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means, on a given date,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in good faith to be the fair market value of the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as to any Awards granted on or with a Date of Grant of the date of the pricing of the Company’s initial public offering, “Fair Market Value” shall be equal to the per share price at which the Common Stock is offered to the public in connection with such initial public offering.</w:t>
      </w:r>
    </w:p>
    <w:p>
      <w:pPr>
        <w:spacing w:after="0" w:line="251" w:lineRule="exact"/>
        <w:rPr>
          <w:rFonts w:ascii="Arial" w:cs="Arial" w:eastAsia="Arial" w:hAnsi="Arial"/>
          <w:sz w:val="18"/>
          <w:szCs w:val="18"/>
          <w:color w:val="auto"/>
        </w:rPr>
      </w:pPr>
    </w:p>
    <w:p>
      <w:pPr>
        <w:ind w:left="1400" w:hanging="743"/>
        <w:spacing w:after="0"/>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given to such term in Section 7(d) of the Plan.</w:t>
      </w:r>
    </w:p>
    <w:p>
      <w:pPr>
        <w:spacing w:after="0" w:line="279" w:lineRule="exact"/>
        <w:rPr>
          <w:rFonts w:ascii="Arial" w:cs="Arial" w:eastAsia="Arial" w:hAnsi="Arial"/>
          <w:sz w:val="18"/>
          <w:szCs w:val="18"/>
          <w:color w:val="auto"/>
        </w:rPr>
      </w:pPr>
    </w:p>
    <w:p>
      <w:pPr>
        <w:ind w:left="1400" w:hanging="743"/>
        <w:spacing w:after="0"/>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has the meaning given to such term in Section 14(b) of the Plan.</w:t>
      </w:r>
    </w:p>
    <w:p>
      <w:pPr>
        <w:spacing w:after="0" w:line="279" w:lineRule="exact"/>
        <w:rPr>
          <w:rFonts w:ascii="Arial" w:cs="Arial" w:eastAsia="Arial" w:hAnsi="Arial"/>
          <w:sz w:val="18"/>
          <w:szCs w:val="18"/>
          <w:color w:val="auto"/>
        </w:rPr>
      </w:pPr>
    </w:p>
    <w:p>
      <w:pPr>
        <w:ind w:right="300" w:firstLine="657"/>
        <w:spacing w:after="0" w:line="277" w:lineRule="auto"/>
        <w:tabs>
          <w:tab w:leader="none" w:pos="13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which is designated by the Committee as an incentive stock option as described in Section 422 of the Code and otherwise meets the requirements set forth in the Plan.</w:t>
      </w:r>
    </w:p>
    <w:p>
      <w:pPr>
        <w:spacing w:after="0" w:line="224" w:lineRule="exact"/>
        <w:rPr>
          <w:rFonts w:ascii="Arial" w:cs="Arial" w:eastAsia="Arial" w:hAnsi="Arial"/>
          <w:sz w:val="18"/>
          <w:szCs w:val="18"/>
          <w:color w:val="auto"/>
        </w:rPr>
      </w:pPr>
    </w:p>
    <w:p>
      <w:pPr>
        <w:ind w:left="1460" w:hanging="803"/>
        <w:spacing w:after="0"/>
        <w:tabs>
          <w:tab w:leader="none" w:pos="1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has the meaning given to such term in Section 4(e) of the Plan.</w:t>
      </w:r>
    </w:p>
    <w:p>
      <w:pPr>
        <w:spacing w:after="0" w:line="279" w:lineRule="exact"/>
        <w:rPr>
          <w:sz w:val="20"/>
          <w:szCs w:val="20"/>
          <w:color w:val="auto"/>
        </w:rPr>
      </w:pPr>
    </w:p>
    <w:p>
      <w:pPr>
        <w:ind w:left="1360" w:hanging="703"/>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which is not designated by the Committee as an Incentive Stock Option.</w:t>
      </w:r>
    </w:p>
    <w:p>
      <w:pPr>
        <w:spacing w:after="0" w:line="279" w:lineRule="exact"/>
        <w:rPr>
          <w:rFonts w:ascii="Arial" w:cs="Arial" w:eastAsia="Arial" w:hAnsi="Arial"/>
          <w:sz w:val="18"/>
          <w:szCs w:val="18"/>
          <w:color w:val="auto"/>
        </w:rPr>
      </w:pPr>
    </w:p>
    <w:p>
      <w:pPr>
        <w:ind w:left="1340" w:hanging="683"/>
        <w:spacing w:after="0"/>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any member of the Company Group.</w:t>
      </w:r>
    </w:p>
    <w:p>
      <w:pPr>
        <w:spacing w:after="0" w:line="279" w:lineRule="exact"/>
        <w:rPr>
          <w:rFonts w:ascii="Arial" w:cs="Arial" w:eastAsia="Arial" w:hAnsi="Arial"/>
          <w:sz w:val="18"/>
          <w:szCs w:val="18"/>
          <w:color w:val="auto"/>
        </w:rPr>
      </w:pPr>
    </w:p>
    <w:p>
      <w:pPr>
        <w:ind w:left="1360" w:hanging="703"/>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279" w:lineRule="exact"/>
        <w:rPr>
          <w:rFonts w:ascii="Arial" w:cs="Arial" w:eastAsia="Arial" w:hAnsi="Arial"/>
          <w:sz w:val="18"/>
          <w:szCs w:val="18"/>
          <w:color w:val="auto"/>
        </w:rPr>
      </w:pPr>
    </w:p>
    <w:p>
      <w:pPr>
        <w:ind w:left="1340" w:hanging="683"/>
        <w:spacing w:after="0"/>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has the meaning given to such term in Section 7(c) of the Plan.</w:t>
      </w:r>
    </w:p>
    <w:p>
      <w:pPr>
        <w:spacing w:after="0" w:line="279" w:lineRule="exact"/>
        <w:rPr>
          <w:rFonts w:ascii="Arial" w:cs="Arial" w:eastAsia="Arial" w:hAnsi="Arial"/>
          <w:sz w:val="18"/>
          <w:szCs w:val="18"/>
          <w:color w:val="auto"/>
        </w:rPr>
      </w:pPr>
    </w:p>
    <w:p>
      <w:pPr>
        <w:ind w:right="60" w:firstLine="657"/>
        <w:spacing w:after="0" w:line="264" w:lineRule="auto"/>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Equity-Based Award</w:t>
      </w:r>
      <w:r>
        <w:rPr>
          <w:rFonts w:ascii="Arial" w:cs="Arial" w:eastAsia="Arial" w:hAnsi="Arial"/>
          <w:sz w:val="18"/>
          <w:szCs w:val="18"/>
          <w:color w:val="auto"/>
        </w:rPr>
        <w:t>” means an Award that is not an Option, Stock Appreciation Right, Restricted Stock or Restricted Stock Unit, that is granted under Section 10 of the Plan and is (i) payable by delivery of Common Stock, and/or (ii) measured by reference to the value of Common Stock.</w:t>
      </w:r>
    </w:p>
    <w:p>
      <w:pPr>
        <w:spacing w:after="0" w:line="3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638" w:right="239" w:bottom="1440" w:gutter="0" w:footer="0" w:header="0"/>
        </w:sectPr>
      </w:pPr>
    </w:p>
    <w:bookmarkStart w:id="91" w:name="page92"/>
    <w:bookmarkEnd w:id="91"/>
    <w:p>
      <w:pPr>
        <w:ind w:right="540" w:firstLine="657"/>
        <w:spacing w:after="0" w:line="277" w:lineRule="auto"/>
        <w:tabs>
          <w:tab w:leader="none" w:pos="13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who has been selected by the Committee to participate in the Plan and to receive an Award pursuant to the Plan.</w:t>
      </w:r>
    </w:p>
    <w:p>
      <w:pPr>
        <w:spacing w:after="0" w:line="224" w:lineRule="exact"/>
        <w:rPr>
          <w:rFonts w:ascii="Arial" w:cs="Arial" w:eastAsia="Arial" w:hAnsi="Arial"/>
          <w:sz w:val="18"/>
          <w:szCs w:val="18"/>
          <w:color w:val="auto"/>
        </w:rPr>
      </w:pPr>
    </w:p>
    <w:p>
      <w:pPr>
        <w:ind w:left="1340" w:hanging="683"/>
        <w:spacing w:after="0"/>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given to such term in Section 14(b) of the Plan.</w:t>
      </w:r>
    </w:p>
    <w:p>
      <w:pPr>
        <w:spacing w:after="0" w:line="279" w:lineRule="exact"/>
        <w:rPr>
          <w:rFonts w:ascii="Arial" w:cs="Arial" w:eastAsia="Arial" w:hAnsi="Arial"/>
          <w:sz w:val="18"/>
          <w:szCs w:val="18"/>
          <w:color w:val="auto"/>
        </w:rPr>
      </w:pPr>
    </w:p>
    <w:p>
      <w:pPr>
        <w:ind w:left="1340" w:hanging="683"/>
        <w:spacing w:after="0"/>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14(d)(2) of the Exchange Act).</w:t>
      </w:r>
    </w:p>
    <w:p>
      <w:pPr>
        <w:spacing w:after="0" w:line="279" w:lineRule="exact"/>
        <w:rPr>
          <w:rFonts w:ascii="Arial" w:cs="Arial" w:eastAsia="Arial" w:hAnsi="Arial"/>
          <w:sz w:val="18"/>
          <w:szCs w:val="18"/>
          <w:color w:val="auto"/>
        </w:rPr>
      </w:pPr>
    </w:p>
    <w:p>
      <w:pPr>
        <w:ind w:left="1420" w:hanging="763"/>
        <w:spacing w:after="0"/>
        <w:tabs>
          <w:tab w:leader="none" w:pos="1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National Vision Holdings, Inc. 2017 Omnibus Incentive Plan, as it may be amended and/or restated from time to time.</w:t>
      </w:r>
    </w:p>
    <w:p>
      <w:pPr>
        <w:spacing w:after="0" w:line="302" w:lineRule="exact"/>
        <w:rPr>
          <w:rFonts w:ascii="Arial" w:cs="Arial" w:eastAsia="Arial" w:hAnsi="Arial"/>
          <w:sz w:val="16"/>
          <w:szCs w:val="16"/>
          <w:color w:val="auto"/>
        </w:rPr>
      </w:pPr>
    </w:p>
    <w:p>
      <w:pPr>
        <w:ind w:right="480" w:firstLine="657"/>
        <w:spacing w:after="0" w:line="342" w:lineRule="auto"/>
        <w:tabs>
          <w:tab w:leader="none" w:pos="140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“Qualifying Director</w:t>
      </w:r>
      <w:r>
        <w:rPr>
          <w:rFonts w:ascii="Arial" w:cs="Arial" w:eastAsia="Arial" w:hAnsi="Arial"/>
          <w:sz w:val="16"/>
          <w:szCs w:val="16"/>
          <w:color w:val="auto"/>
        </w:rPr>
        <w:t>” means a person who is, with respect to actions intended to obtain an exemption from Section 16(b) of the Exchange Act pursuant to Rule 16b-3 under the Exchange Act, a “non-employee director” within the meaning of Rule 16b-3 under the Exchange Act.</w:t>
      </w:r>
    </w:p>
    <w:p>
      <w:pPr>
        <w:spacing w:after="0" w:line="177" w:lineRule="exact"/>
        <w:rPr>
          <w:rFonts w:ascii="Arial" w:cs="Arial" w:eastAsia="Arial" w:hAnsi="Arial"/>
          <w:sz w:val="16"/>
          <w:szCs w:val="16"/>
          <w:color w:val="auto"/>
        </w:rPr>
      </w:pPr>
    </w:p>
    <w:p>
      <w:pPr>
        <w:ind w:left="1380" w:hanging="723"/>
        <w:spacing w:after="0"/>
        <w:tabs>
          <w:tab w:leader="none" w:pos="13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the period of time determined by the Committee during which an Award is subject to restrictions, including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vesting conditions.</w:t>
      </w:r>
    </w:p>
    <w:p>
      <w:pPr>
        <w:spacing w:after="0" w:line="264" w:lineRule="exact"/>
        <w:rPr>
          <w:rFonts w:ascii="Arial" w:cs="Arial" w:eastAsia="Arial" w:hAnsi="Arial"/>
          <w:sz w:val="16"/>
          <w:szCs w:val="16"/>
          <w:color w:val="auto"/>
        </w:rPr>
      </w:pPr>
    </w:p>
    <w:p>
      <w:pPr>
        <w:ind w:right="60" w:firstLine="657"/>
        <w:spacing w:after="0" w:line="342" w:lineRule="auto"/>
        <w:tabs>
          <w:tab w:leader="none" w:pos="1408"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Common Stock, subject to certain specified restrictions (which may include, without limitation, a requirement that the Participant remain continuously employed or provide continuous services for a specified period of time), granted under Section 9 of the Plan.</w:t>
      </w:r>
    </w:p>
    <w:p>
      <w:pPr>
        <w:spacing w:after="0" w:line="177" w:lineRule="exact"/>
        <w:rPr>
          <w:rFonts w:ascii="Arial" w:cs="Arial" w:eastAsia="Arial" w:hAnsi="Arial"/>
          <w:sz w:val="16"/>
          <w:szCs w:val="16"/>
          <w:color w:val="auto"/>
        </w:rPr>
      </w:pPr>
    </w:p>
    <w:p>
      <w:pPr>
        <w:ind w:right="120" w:firstLine="657"/>
        <w:spacing w:after="0" w:line="264" w:lineRule="auto"/>
        <w:tabs>
          <w:tab w:leader="none" w:pos="13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9 of the Plan.</w:t>
      </w:r>
    </w:p>
    <w:p>
      <w:pPr>
        <w:spacing w:after="0" w:line="235" w:lineRule="exact"/>
        <w:rPr>
          <w:rFonts w:ascii="Arial" w:cs="Arial" w:eastAsia="Arial" w:hAnsi="Arial"/>
          <w:sz w:val="18"/>
          <w:szCs w:val="18"/>
          <w:color w:val="auto"/>
        </w:rPr>
      </w:pPr>
    </w:p>
    <w:p>
      <w:pPr>
        <w:ind w:left="1340" w:hanging="683"/>
        <w:spacing w:after="0"/>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Period</w:t>
      </w:r>
      <w:r>
        <w:rPr>
          <w:rFonts w:ascii="Arial" w:cs="Arial" w:eastAsia="Arial" w:hAnsi="Arial"/>
          <w:sz w:val="18"/>
          <w:szCs w:val="18"/>
          <w:color w:val="auto"/>
        </w:rPr>
        <w:t>” has the meaning given to such term in Section 8(c) of the Plan.</w:t>
      </w:r>
    </w:p>
    <w:p>
      <w:pPr>
        <w:spacing w:after="0" w:line="279" w:lineRule="exact"/>
        <w:rPr>
          <w:rFonts w:ascii="Arial" w:cs="Arial" w:eastAsia="Arial" w:hAnsi="Arial"/>
          <w:sz w:val="18"/>
          <w:szCs w:val="18"/>
          <w:color w:val="auto"/>
        </w:rPr>
      </w:pPr>
    </w:p>
    <w:p>
      <w:pPr>
        <w:ind w:firstLine="657"/>
        <w:spacing w:after="0" w:line="264" w:lineRule="auto"/>
        <w:tabs>
          <w:tab w:leader="none" w:pos="1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235" w:lineRule="exact"/>
        <w:rPr>
          <w:rFonts w:ascii="Arial" w:cs="Arial" w:eastAsia="Arial" w:hAnsi="Arial"/>
          <w:sz w:val="18"/>
          <w:szCs w:val="18"/>
          <w:color w:val="auto"/>
        </w:rPr>
      </w:pPr>
    </w:p>
    <w:p>
      <w:pPr>
        <w:ind w:firstLine="657"/>
        <w:spacing w:after="0" w:line="264" w:lineRule="auto"/>
        <w:tabs>
          <w:tab w:leader="none" w:pos="1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with respect to a Participant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spacing w:after="0" w:line="235" w:lineRule="exact"/>
        <w:rPr>
          <w:rFonts w:ascii="Arial" w:cs="Arial" w:eastAsia="Arial" w:hAnsi="Arial"/>
          <w:sz w:val="18"/>
          <w:szCs w:val="18"/>
          <w:color w:val="auto"/>
        </w:rPr>
      </w:pPr>
    </w:p>
    <w:p>
      <w:pPr>
        <w:ind w:left="1340" w:hanging="683"/>
        <w:spacing w:after="0"/>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Section 8 of the Plan.</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20" w:top="638" w:right="279" w:bottom="1440" w:gutter="0" w:footer="0" w:header="0"/>
        </w:sectPr>
      </w:pPr>
    </w:p>
    <w:bookmarkStart w:id="92" w:name="page93"/>
    <w:bookmarkEnd w:id="92"/>
    <w:p>
      <w:pPr>
        <w:ind w:left="1420" w:hanging="723"/>
        <w:spacing w:after="0"/>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Strike Price</w:t>
      </w:r>
      <w:r>
        <w:rPr>
          <w:rFonts w:ascii="Arial" w:cs="Arial" w:eastAsia="Arial" w:hAnsi="Arial"/>
          <w:sz w:val="18"/>
          <w:szCs w:val="18"/>
          <w:color w:val="auto"/>
        </w:rPr>
        <w:t>” has the meaning given to such term in Section 8(b) of the Plan.</w:t>
      </w:r>
    </w:p>
    <w:p>
      <w:pPr>
        <w:spacing w:after="0" w:line="279" w:lineRule="exact"/>
        <w:rPr>
          <w:rFonts w:ascii="Arial" w:cs="Arial" w:eastAsia="Arial" w:hAnsi="Arial"/>
          <w:sz w:val="18"/>
          <w:szCs w:val="18"/>
          <w:color w:val="auto"/>
        </w:rPr>
      </w:pPr>
    </w:p>
    <w:p>
      <w:pPr>
        <w:ind w:left="1380" w:hanging="683"/>
        <w:spacing w:after="0"/>
        <w:tabs>
          <w:tab w:leader="none" w:pos="13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w:t>
      </w:r>
    </w:p>
    <w:p>
      <w:pPr>
        <w:spacing w:after="0" w:line="279" w:lineRule="exact"/>
        <w:rPr>
          <w:rFonts w:ascii="Arial" w:cs="Arial" w:eastAsia="Arial" w:hAnsi="Arial"/>
          <w:sz w:val="18"/>
          <w:szCs w:val="18"/>
          <w:color w:val="auto"/>
        </w:rPr>
      </w:pPr>
    </w:p>
    <w:p>
      <w:pPr>
        <w:ind w:left="620" w:right="140" w:firstLine="645"/>
        <w:spacing w:after="0" w:line="259" w:lineRule="auto"/>
        <w:tabs>
          <w:tab w:leader="none" w:pos="1978" w:val="left"/>
        </w:tabs>
        <w:numPr>
          <w:ilvl w:val="2"/>
          <w:numId w:val="73"/>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240" w:lineRule="exact"/>
        <w:rPr>
          <w:rFonts w:ascii="Arial" w:cs="Arial" w:eastAsia="Arial" w:hAnsi="Arial"/>
          <w:sz w:val="18"/>
          <w:szCs w:val="18"/>
          <w:color w:val="auto"/>
        </w:rPr>
      </w:pPr>
    </w:p>
    <w:p>
      <w:pPr>
        <w:jc w:val="both"/>
        <w:ind w:left="620" w:firstLine="645"/>
        <w:spacing w:after="0" w:line="264" w:lineRule="auto"/>
        <w:tabs>
          <w:tab w:leader="none" w:pos="2028" w:val="left"/>
        </w:tabs>
        <w:numPr>
          <w:ilvl w:val="2"/>
          <w:numId w:val="73"/>
        </w:numPr>
        <w:rPr>
          <w:rFonts w:ascii="Arial" w:cs="Arial" w:eastAsia="Arial" w:hAnsi="Arial"/>
          <w:sz w:val="18"/>
          <w:szCs w:val="18"/>
          <w:color w:val="auto"/>
        </w:rPr>
      </w:pPr>
      <w:r>
        <w:rPr>
          <w:rFonts w:ascii="Arial" w:cs="Arial" w:eastAsia="Arial" w:hAnsi="Arial"/>
          <w:sz w:val="18"/>
          <w:szCs w:val="18"/>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235" w:lineRule="exact"/>
        <w:rPr>
          <w:rFonts w:ascii="Arial" w:cs="Arial" w:eastAsia="Arial" w:hAnsi="Arial"/>
          <w:sz w:val="18"/>
          <w:szCs w:val="18"/>
          <w:color w:val="auto"/>
        </w:rPr>
      </w:pPr>
    </w:p>
    <w:p>
      <w:pPr>
        <w:ind w:left="1400" w:hanging="703"/>
        <w:spacing w:after="0"/>
        <w:tabs>
          <w:tab w:leader="none" w:pos="14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has the meaning given to such term in Section 5(e) of the Plan.</w:t>
      </w:r>
    </w:p>
    <w:p>
      <w:pPr>
        <w:spacing w:after="0" w:line="279" w:lineRule="exact"/>
        <w:rPr>
          <w:rFonts w:ascii="Arial" w:cs="Arial" w:eastAsia="Arial" w:hAnsi="Arial"/>
          <w:sz w:val="18"/>
          <w:szCs w:val="18"/>
          <w:color w:val="auto"/>
        </w:rPr>
      </w:pPr>
    </w:p>
    <w:p>
      <w:pPr>
        <w:ind w:left="40" w:right="200" w:firstLine="657"/>
        <w:spacing w:after="0" w:line="257" w:lineRule="auto"/>
        <w:tabs>
          <w:tab w:leader="none" w:pos="1366"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Sub-Plans</w:t>
      </w:r>
      <w:r>
        <w:rPr>
          <w:rFonts w:ascii="Arial" w:cs="Arial" w:eastAsia="Arial" w:hAnsi="Arial"/>
          <w:sz w:val="18"/>
          <w:szCs w:val="18"/>
          <w:color w:val="auto"/>
        </w:rPr>
        <w:t>” means any sub-plan to the Plan that has been adopted by the Board or the Committee for the purpose of 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Absolute Share Limit and the other limits specified in Section 5(b) shall apply in the aggregate to the Plan and any Sub-Plan adopted hereunder.</w:t>
      </w:r>
    </w:p>
    <w:p>
      <w:pPr>
        <w:spacing w:after="0" w:line="242" w:lineRule="exact"/>
        <w:rPr>
          <w:rFonts w:ascii="Arial" w:cs="Arial" w:eastAsia="Arial" w:hAnsi="Arial"/>
          <w:sz w:val="18"/>
          <w:szCs w:val="18"/>
          <w:color w:val="auto"/>
        </w:rPr>
      </w:pPr>
    </w:p>
    <w:p>
      <w:pPr>
        <w:ind w:left="1380" w:hanging="683"/>
        <w:spacing w:after="0"/>
        <w:tabs>
          <w:tab w:leader="none" w:pos="13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w:t>
      </w:r>
      <w:r>
        <w:rPr>
          <w:rFonts w:ascii="Arial" w:cs="Arial" w:eastAsia="Arial" w:hAnsi="Arial"/>
          <w:sz w:val="16"/>
          <w:szCs w:val="16"/>
          <w:color w:val="auto"/>
        </w:rPr>
        <w:t>” means the termination of a Participant’s employment or service, as applicable, with the Service Recipient for any reason</w:t>
      </w:r>
    </w:p>
    <w:p>
      <w:pPr>
        <w:spacing w:after="0" w:line="46"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8"/>
          <w:szCs w:val="18"/>
          <w:color w:val="auto"/>
        </w:rPr>
        <w:t>(including death).</w:t>
      </w:r>
    </w:p>
    <w:p>
      <w:pPr>
        <w:spacing w:after="0" w:line="260" w:lineRule="exact"/>
        <w:rPr>
          <w:rFonts w:ascii="Arial" w:cs="Arial" w:eastAsia="Arial" w:hAnsi="Arial"/>
          <w:sz w:val="16"/>
          <w:szCs w:val="16"/>
          <w:color w:val="auto"/>
        </w:rPr>
      </w:pPr>
    </w:p>
    <w:p>
      <w:pPr>
        <w:ind w:left="-40" w:right="60" w:firstLine="656"/>
        <w:spacing w:after="0" w:line="210" w:lineRule="auto"/>
        <w:tabs>
          <w:tab w:leader="none" w:pos="1445"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w:t>
      </w:r>
      <w:r>
        <w:rPr>
          <w:rFonts w:ascii="Arial" w:cs="Arial" w:eastAsia="Arial" w:hAnsi="Arial"/>
          <w:sz w:val="18"/>
          <w:szCs w:val="18"/>
          <w:color w:val="auto"/>
        </w:rPr>
        <w:t>. The Plan shall be effective as of the Effective Date. The expiration date of the Plan, on and after which date</w:t>
      </w:r>
      <w:r>
        <w:rPr>
          <w:rFonts w:ascii="Arial" w:cs="Arial" w:eastAsia="Arial" w:hAnsi="Arial"/>
          <w:sz w:val="18"/>
          <w:szCs w:val="18"/>
          <w:b w:val="1"/>
          <w:bCs w:val="1"/>
          <w:color w:val="auto"/>
        </w:rPr>
        <w:t xml:space="preserve"> </w:t>
      </w:r>
      <w:r>
        <w:rPr>
          <w:rFonts w:ascii="Arial" w:cs="Arial" w:eastAsia="Arial" w:hAnsi="Arial"/>
          <w:sz w:val="18"/>
          <w:szCs w:val="18"/>
          <w:color w:val="auto"/>
        </w:rPr>
        <w:t>no Awards may be granted hereunder, shall be the tenth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Effective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expiration shall not affect Awards then outstanding, and the terms and conditions of the Plan shall continue to apply to such Awards.</w:t>
      </w:r>
    </w:p>
    <w:p>
      <w:pPr>
        <w:spacing w:after="0" w:line="254" w:lineRule="exact"/>
        <w:rPr>
          <w:rFonts w:ascii="Arial" w:cs="Arial" w:eastAsia="Arial" w:hAnsi="Arial"/>
          <w:sz w:val="18"/>
          <w:szCs w:val="18"/>
          <w:b w:val="1"/>
          <w:bCs w:val="1"/>
          <w:color w:val="auto"/>
        </w:rPr>
      </w:pPr>
    </w:p>
    <w:p>
      <w:pPr>
        <w:ind w:left="1460" w:hanging="844"/>
        <w:spacing w:after="0"/>
        <w:tabs>
          <w:tab w:leader="none" w:pos="1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ind w:left="40" w:right="200" w:firstLine="657"/>
        <w:spacing w:after="0" w:line="276" w:lineRule="auto"/>
        <w:tabs>
          <w:tab w:leader="none" w:pos="1428"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638" w:right="279" w:bottom="1440" w:gutter="0" w:footer="0" w:header="0"/>
        </w:sectPr>
      </w:pPr>
    </w:p>
    <w:bookmarkStart w:id="93" w:name="page94"/>
    <w:bookmarkEnd w:id="93"/>
    <w:p>
      <w:pPr>
        <w:ind w:right="20" w:firstLine="657"/>
        <w:spacing w:after="0" w:line="284" w:lineRule="auto"/>
        <w:tabs>
          <w:tab w:leader="none" w:pos="1398"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Committee Authority</w:t>
      </w:r>
      <w:r>
        <w:rPr>
          <w:rFonts w:ascii="Arial" w:cs="Arial" w:eastAsia="Arial" w:hAnsi="Arial"/>
          <w:sz w:val="16"/>
          <w:szCs w:val="16"/>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w:t>
      </w:r>
    </w:p>
    <w:p>
      <w:pPr>
        <w:spacing w:after="0" w:line="1" w:lineRule="exact"/>
        <w:rPr>
          <w:rFonts w:ascii="Arial" w:cs="Arial" w:eastAsia="Arial" w:hAnsi="Arial"/>
          <w:sz w:val="16"/>
          <w:szCs w:val="16"/>
          <w:color w:val="auto"/>
        </w:rPr>
      </w:pPr>
    </w:p>
    <w:p>
      <w:pPr>
        <w:ind w:right="40" w:firstLine="9"/>
        <w:spacing w:after="0" w:line="254" w:lineRule="auto"/>
        <w:tabs>
          <w:tab w:leader="none" w:pos="3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adopt Sub-Plans; and (x) make any other determination and take any other action that the Committee deems necessary or desirable for the administration of the Plan.</w:t>
      </w:r>
    </w:p>
    <w:p>
      <w:pPr>
        <w:spacing w:after="0" w:line="243" w:lineRule="exact"/>
        <w:rPr>
          <w:rFonts w:ascii="Arial" w:cs="Arial" w:eastAsia="Arial" w:hAnsi="Arial"/>
          <w:sz w:val="18"/>
          <w:szCs w:val="18"/>
          <w:color w:val="auto"/>
        </w:rPr>
      </w:pPr>
    </w:p>
    <w:p>
      <w:pPr>
        <w:ind w:firstLine="657"/>
        <w:spacing w:after="0" w:line="291" w:lineRule="auto"/>
        <w:tabs>
          <w:tab w:leader="none" w:pos="1388"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Delegation</w:t>
      </w:r>
      <w:r>
        <w:rPr>
          <w:rFonts w:ascii="Arial" w:cs="Arial" w:eastAsia="Arial" w:hAnsi="Arial"/>
          <w:sz w:val="16"/>
          <w:szCs w:val="16"/>
          <w:color w:val="auto"/>
        </w:rPr>
        <w:t>.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(i) who are Non-Employee Directors, or (ii) who are subject to Section 16 of the Exchange Act.</w:t>
      </w:r>
    </w:p>
    <w:p>
      <w:pPr>
        <w:spacing w:after="0" w:line="221" w:lineRule="exact"/>
        <w:rPr>
          <w:rFonts w:ascii="Arial" w:cs="Arial" w:eastAsia="Arial" w:hAnsi="Arial"/>
          <w:sz w:val="16"/>
          <w:szCs w:val="16"/>
          <w:color w:val="auto"/>
        </w:rPr>
      </w:pPr>
    </w:p>
    <w:p>
      <w:pPr>
        <w:ind w:right="180" w:firstLine="657"/>
        <w:spacing w:after="0" w:line="259" w:lineRule="auto"/>
        <w:tabs>
          <w:tab w:leader="none" w:pos="139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Finality of Decisions</w:t>
      </w:r>
      <w:r>
        <w:rPr>
          <w:rFonts w:ascii="Arial" w:cs="Arial" w:eastAsia="Arial" w:hAnsi="Arial"/>
          <w:sz w:val="18"/>
          <w:szCs w:val="18"/>
          <w:color w:val="auto"/>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spacing w:after="0" w:line="240" w:lineRule="exact"/>
        <w:rPr>
          <w:rFonts w:ascii="Arial" w:cs="Arial" w:eastAsia="Arial" w:hAnsi="Arial"/>
          <w:sz w:val="18"/>
          <w:szCs w:val="18"/>
          <w:color w:val="auto"/>
        </w:rPr>
      </w:pPr>
    </w:p>
    <w:p>
      <w:pPr>
        <w:ind w:right="20" w:firstLine="657"/>
        <w:spacing w:after="0" w:line="257" w:lineRule="auto"/>
        <w:tabs>
          <w:tab w:leader="none" w:pos="138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 member of the Board, the Committee or any employee or agent of any member of the Company Group (each such Person, an “</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20" w:top="638" w:right="319" w:bottom="1440" w:gutter="0" w:footer="0" w:header="0"/>
        </w:sectPr>
      </w:pPr>
    </w:p>
    <w:bookmarkStart w:id="94" w:name="page95"/>
    <w:bookmarkEnd w:id="94"/>
    <w:p>
      <w:pPr>
        <w:spacing w:after="0" w:line="268" w:lineRule="auto"/>
        <w:rPr>
          <w:sz w:val="20"/>
          <w:szCs w:val="20"/>
          <w:color w:val="auto"/>
        </w:rPr>
      </w:pPr>
      <w:r>
        <w:rPr>
          <w:rFonts w:ascii="Arial" w:cs="Arial" w:eastAsia="Arial" w:hAnsi="Arial"/>
          <w:sz w:val="17"/>
          <w:szCs w:val="17"/>
          <w:color w:val="auto"/>
        </w:rPr>
        <w:t xml:space="preserve">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spacing w:after="0" w:line="237" w:lineRule="exact"/>
        <w:rPr>
          <w:sz w:val="20"/>
          <w:szCs w:val="20"/>
          <w:color w:val="auto"/>
        </w:rPr>
      </w:pPr>
    </w:p>
    <w:p>
      <w:pPr>
        <w:jc w:val="both"/>
        <w:ind w:right="140" w:firstLine="657"/>
        <w:spacing w:after="0" w:line="259" w:lineRule="auto"/>
        <w:tabs>
          <w:tab w:leader="none" w:pos="1422"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Board Authority</w:t>
      </w:r>
      <w:r>
        <w:rPr>
          <w:rFonts w:ascii="Arial" w:cs="Arial" w:eastAsia="Arial" w:hAnsi="Arial"/>
          <w:sz w:val="18"/>
          <w:szCs w:val="18"/>
          <w:color w:val="auto"/>
        </w:rPr>
        <w:t>. Notwithstanding anything to the contrary contained in the Plan, the Board may, in its sole discretion, at any time and from time to time, grant Awards and administer the Plan with respect to any Awards. Any such actions by the Board shall be subject to the applicable rules of the securities exchange or inter-dealer quotation system on which the Common Stock is listed or quoted. In any such case, the Board shall have all the authority granted to the Committee under the Plan.</w:t>
      </w:r>
    </w:p>
    <w:p>
      <w:pPr>
        <w:spacing w:after="0" w:line="236" w:lineRule="exact"/>
        <w:rPr>
          <w:rFonts w:ascii="Arial" w:cs="Arial" w:eastAsia="Arial" w:hAnsi="Arial"/>
          <w:sz w:val="18"/>
          <w:szCs w:val="18"/>
          <w:color w:val="auto"/>
        </w:rPr>
      </w:pPr>
    </w:p>
    <w:p>
      <w:pPr>
        <w:ind w:left="1420" w:hanging="844"/>
        <w:spacing w:after="0"/>
        <w:tabs>
          <w:tab w:leader="none" w:pos="14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Awards; Shares Subject to the Plan; Limitations</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ind w:left="1400" w:hanging="743"/>
        <w:spacing w:after="0"/>
        <w:tabs>
          <w:tab w:leader="none" w:pos="140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Committee may, from time to time, grant Awards to one or more Eligible Persons.</w:t>
      </w:r>
    </w:p>
    <w:p>
      <w:pPr>
        <w:spacing w:after="0" w:line="279" w:lineRule="exact"/>
        <w:rPr>
          <w:rFonts w:ascii="Arial" w:cs="Arial" w:eastAsia="Arial" w:hAnsi="Arial"/>
          <w:sz w:val="18"/>
          <w:szCs w:val="18"/>
          <w:color w:val="auto"/>
        </w:rPr>
      </w:pPr>
    </w:p>
    <w:p>
      <w:pPr>
        <w:ind w:right="100" w:firstLine="657"/>
        <w:spacing w:after="0" w:line="293" w:lineRule="auto"/>
        <w:tabs>
          <w:tab w:leader="none" w:pos="1398"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Share Reserve and Limits</w:t>
      </w:r>
      <w:r>
        <w:rPr>
          <w:rFonts w:ascii="Arial" w:cs="Arial" w:eastAsia="Arial" w:hAnsi="Arial"/>
          <w:sz w:val="16"/>
          <w:szCs w:val="16"/>
          <w:color w:val="auto"/>
        </w:rPr>
        <w:t>. Awards granted under the Plan shall be subject to the following limitations: (i) subject to Section 12 of the Plan, no more than 4,000,000 shares of Common Stock (the “</w:t>
      </w:r>
      <w:r>
        <w:rPr>
          <w:rFonts w:ascii="Arial" w:cs="Arial" w:eastAsia="Arial" w:hAnsi="Arial"/>
          <w:sz w:val="16"/>
          <w:szCs w:val="16"/>
          <w:u w:val="single" w:color="auto"/>
          <w:color w:val="auto"/>
        </w:rPr>
        <w:t>Absolute Share Limit</w:t>
      </w:r>
      <w:r>
        <w:rPr>
          <w:rFonts w:ascii="Arial" w:cs="Arial" w:eastAsia="Arial" w:hAnsi="Arial"/>
          <w:sz w:val="16"/>
          <w:szCs w:val="16"/>
          <w:color w:val="auto"/>
        </w:rPr>
        <w:t>”) shall be available for Awards under the Plan; (ii) subject to Section 12 of the Plan, no more than the number of shares of Common Stock equal to the Absolute Share Limit may be issued in the aggregate pursuant to the exercise of Incentive Stock Options granted under the Plan; and (iii) the maximum number of shares of Common Stock subject to Awards granted during a single fiscal year to any Non-Employee Director, taken together with any cash fees paid to such Non-Employee Director during the fiscal year, shall not exceed $500,000 in total value (calculating the value of any such Awards based on the grant date fair value of such Awards for financial reporting purposes).</w:t>
      </w: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611" w:right="239" w:bottom="1440" w:gutter="0" w:footer="0" w:header="0"/>
        </w:sectPr>
      </w:pPr>
    </w:p>
    <w:bookmarkStart w:id="95" w:name="page96"/>
    <w:bookmarkEnd w:id="95"/>
    <w:p>
      <w:pPr>
        <w:ind w:firstLine="657"/>
        <w:spacing w:after="0" w:line="253" w:lineRule="auto"/>
        <w:tabs>
          <w:tab w:leader="none" w:pos="1388"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Share Counting</w:t>
      </w:r>
      <w:r>
        <w:rPr>
          <w:rFonts w:ascii="Arial" w:cs="Arial" w:eastAsia="Arial" w:hAnsi="Arial"/>
          <w:sz w:val="18"/>
          <w:szCs w:val="18"/>
          <w:color w:val="auto"/>
        </w:rPr>
        <w:t xml:space="preserve">. Other than with respect to Substitute Awards, to the extent that an Award expires or is canceled, forfeited, or terminated without issuance to the Participant of the full number of shares of Common Stock to which the Award related, the unissued shares will again be available for grant under the Plan. Shares of Common Stock shall be deemed to have been issued in settlement of Awards if the Fair Market Value equivalent of such shares is paid in cash in connection with such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shares shall be deemed to have been issued in settlement of a SAR or Restricted Stock Unit that provides for settlement only in cash and settles only in cash or in respect of any Cash-Based Incentive Award. In no event shall (i) shares tendered or withheld on exercise of Options or other Award for the payment of the exercise or purchase price or withholding taxes, (ii) shares not issued upon the settlement of a SAR that by the terms of the Award Agreement would settle in shares of Common Stock (or could settle in shares of Common Stock), or (iii) shares purchased on the open market with cash proceeds from the exercise of Options, again become available for other Awards under the Plan.</w:t>
      </w:r>
    </w:p>
    <w:p>
      <w:pPr>
        <w:spacing w:after="0" w:line="251" w:lineRule="exact"/>
        <w:rPr>
          <w:rFonts w:ascii="Arial" w:cs="Arial" w:eastAsia="Arial" w:hAnsi="Arial"/>
          <w:sz w:val="18"/>
          <w:szCs w:val="18"/>
          <w:color w:val="auto"/>
        </w:rPr>
      </w:pPr>
    </w:p>
    <w:p>
      <w:pPr>
        <w:ind w:right="340" w:firstLine="657"/>
        <w:spacing w:after="0" w:line="342" w:lineRule="auto"/>
        <w:tabs>
          <w:tab w:leader="none" w:pos="1398"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Source of Shares</w:t>
      </w:r>
      <w:r>
        <w:rPr>
          <w:rFonts w:ascii="Arial" w:cs="Arial" w:eastAsia="Arial" w:hAnsi="Arial"/>
          <w:sz w:val="16"/>
          <w:szCs w:val="16"/>
          <w:color w:val="auto"/>
        </w:rPr>
        <w:t>. Shares of Common Stock issued by the Company in settlement of Awards may be authorized and unissued shares, shares held in the treasury of the Company, shares purchased on the open market or by private purchase or a combination of the foregoing.</w:t>
      </w:r>
    </w:p>
    <w:p>
      <w:pPr>
        <w:spacing w:after="0" w:line="177" w:lineRule="exact"/>
        <w:rPr>
          <w:rFonts w:ascii="Arial" w:cs="Arial" w:eastAsia="Arial" w:hAnsi="Arial"/>
          <w:sz w:val="16"/>
          <w:szCs w:val="16"/>
          <w:color w:val="auto"/>
        </w:rPr>
      </w:pPr>
    </w:p>
    <w:p>
      <w:pPr>
        <w:ind w:right="160" w:firstLine="657"/>
        <w:spacing w:after="0" w:line="290" w:lineRule="auto"/>
        <w:tabs>
          <w:tab w:leader="none" w:pos="1388"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Arial" w:cs="Arial" w:eastAsia="Arial" w:hAnsi="Arial"/>
          <w:sz w:val="16"/>
          <w:szCs w:val="16"/>
          <w:u w:val="single" w:color="auto"/>
          <w:color w:val="auto"/>
        </w:rPr>
        <w:t>Substitute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Awards</w:t>
      </w:r>
      <w:r>
        <w:rPr>
          <w:rFonts w:ascii="Arial" w:cs="Arial" w:eastAsia="Arial" w:hAnsi="Arial"/>
          <w:sz w:val="16"/>
          <w:szCs w:val="16"/>
          <w:color w:val="auto"/>
        </w:rPr>
        <w:t xml:space="preserve">”). Substitute Awards shall not be counted against the Absolute Share Limit; </w:t>
      </w:r>
      <w:r>
        <w:rPr>
          <w:rFonts w:ascii="Arial" w:cs="Arial" w:eastAsia="Arial" w:hAnsi="Arial"/>
          <w:sz w:val="16"/>
          <w:szCs w:val="16"/>
          <w:i w:val="1"/>
          <w:iCs w:val="1"/>
          <w:color w:val="auto"/>
        </w:rPr>
        <w:t>provided</w:t>
      </w:r>
      <w:r>
        <w:rPr>
          <w:rFonts w:ascii="Arial" w:cs="Arial" w:eastAsia="Arial" w:hAnsi="Arial"/>
          <w:sz w:val="16"/>
          <w:szCs w:val="16"/>
          <w:color w:val="auto"/>
        </w:rPr>
        <w:t>, 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spacing w:after="0" w:line="216" w:lineRule="exact"/>
        <w:rPr>
          <w:rFonts w:ascii="Arial" w:cs="Arial" w:eastAsia="Arial" w:hAnsi="Arial"/>
          <w:sz w:val="16"/>
          <w:szCs w:val="16"/>
          <w:color w:val="auto"/>
        </w:rPr>
      </w:pPr>
    </w:p>
    <w:p>
      <w:pPr>
        <w:ind w:left="1420" w:hanging="844"/>
        <w:spacing w:after="0"/>
        <w:tabs>
          <w:tab w:leader="none" w:pos="14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Participation in the Plan shall be limited to Eligible Persons.</w:t>
      </w:r>
    </w:p>
    <w:p>
      <w:pPr>
        <w:spacing w:after="0" w:line="279" w:lineRule="exact"/>
        <w:rPr>
          <w:rFonts w:ascii="Arial" w:cs="Arial" w:eastAsia="Arial" w:hAnsi="Arial"/>
          <w:sz w:val="18"/>
          <w:szCs w:val="18"/>
          <w:b w:val="1"/>
          <w:bCs w:val="1"/>
          <w:color w:val="auto"/>
        </w:rPr>
      </w:pPr>
    </w:p>
    <w:p>
      <w:pPr>
        <w:ind w:left="1420" w:hanging="844"/>
        <w:spacing w:after="0"/>
        <w:tabs>
          <w:tab w:leader="none" w:pos="14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ind w:right="100" w:firstLine="657"/>
        <w:spacing w:after="0" w:line="273" w:lineRule="auto"/>
        <w:tabs>
          <w:tab w:leader="none" w:pos="1388"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638" w:right="259" w:bottom="1440" w:gutter="0" w:footer="0" w:header="0"/>
        </w:sectPr>
      </w:pPr>
    </w:p>
    <w:bookmarkStart w:id="96" w:name="page97"/>
    <w:bookmarkEnd w:id="96"/>
    <w:p>
      <w:pPr>
        <w:ind w:right="120"/>
        <w:spacing w:after="0" w:line="255" w:lineRule="auto"/>
        <w:rPr>
          <w:sz w:val="20"/>
          <w:szCs w:val="20"/>
          <w:color w:val="auto"/>
        </w:rPr>
      </w:pPr>
      <w:r>
        <w:rPr>
          <w:rFonts w:ascii="Arial" w:cs="Arial" w:eastAsia="Arial" w:hAnsi="Arial"/>
          <w:sz w:val="18"/>
          <w:szCs w:val="18"/>
          <w:color w:val="auto"/>
        </w:rPr>
        <w:t xml:space="preserve">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8"/>
          <w:szCs w:val="18"/>
          <w:i w:val="1"/>
          <w:iCs w:val="1"/>
          <w:color w:val="auto"/>
        </w:rPr>
        <w:t>provided</w:t>
      </w:r>
      <w:r>
        <w:rPr>
          <w:rFonts w:ascii="Arial" w:cs="Arial" w:eastAsia="Arial" w:hAnsi="Arial"/>
          <w:sz w:val="18"/>
          <w:szCs w:val="18"/>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243" w:lineRule="exact"/>
        <w:rPr>
          <w:sz w:val="20"/>
          <w:szCs w:val="20"/>
          <w:color w:val="auto"/>
        </w:rPr>
      </w:pPr>
    </w:p>
    <w:p>
      <w:pPr>
        <w:ind w:right="160" w:firstLine="657"/>
        <w:spacing w:after="0" w:line="257" w:lineRule="auto"/>
        <w:tabs>
          <w:tab w:leader="none" w:pos="139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Except as otherwise provided by the Committee in the case of Substitute Awards, the exercise price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per share of Common Stock for each Option shall not be less than 100% of the Fair Market Value of such share (determined as of the Date of Grant);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an Incentive Stock Option granted to an employee who, at the time of the grant of such Option,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more than 10% of the voting power of all classes of stock of any member of the Company Group, the Exercise Price per share shall be no less than 110% of the Fair Market Value per share on the Date of Grant.</w:t>
      </w:r>
    </w:p>
    <w:p>
      <w:pPr>
        <w:spacing w:after="0" w:line="242" w:lineRule="exact"/>
        <w:rPr>
          <w:rFonts w:ascii="Arial" w:cs="Arial" w:eastAsia="Arial" w:hAnsi="Arial"/>
          <w:sz w:val="18"/>
          <w:szCs w:val="18"/>
          <w:color w:val="auto"/>
        </w:rPr>
      </w:pPr>
    </w:p>
    <w:p>
      <w:pPr>
        <w:ind w:left="1400" w:hanging="743"/>
        <w:spacing w:after="0"/>
        <w:tabs>
          <w:tab w:leader="none" w:pos="14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940" w:hanging="715"/>
        <w:spacing w:after="0"/>
        <w:tabs>
          <w:tab w:leader="none" w:pos="19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Options shall vest and become exercisable in such manner and on such date or dates or upon such event or events as determined</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by the Committee.</w:t>
      </w:r>
    </w:p>
    <w:p>
      <w:pPr>
        <w:spacing w:after="0" w:line="264" w:lineRule="exact"/>
        <w:rPr>
          <w:rFonts w:ascii="Arial" w:cs="Arial" w:eastAsia="Arial" w:hAnsi="Arial"/>
          <w:sz w:val="16"/>
          <w:szCs w:val="16"/>
          <w:color w:val="auto"/>
        </w:rPr>
      </w:pPr>
    </w:p>
    <w:p>
      <w:pPr>
        <w:ind w:left="580" w:right="100" w:firstLine="645"/>
        <w:spacing w:after="0" w:line="261" w:lineRule="auto"/>
        <w:tabs>
          <w:tab w:leader="none" w:pos="1988" w:val="left"/>
        </w:tabs>
        <w:numPr>
          <w:ilvl w:val="1"/>
          <w:numId w:val="81"/>
        </w:numPr>
        <w:rPr>
          <w:rFonts w:ascii="Arial" w:cs="Arial" w:eastAsia="Arial" w:hAnsi="Arial"/>
          <w:sz w:val="16"/>
          <w:szCs w:val="16"/>
          <w:color w:val="auto"/>
        </w:rPr>
      </w:pPr>
      <w:r>
        <w:rPr>
          <w:rFonts w:ascii="Arial" w:cs="Arial" w:eastAsia="Arial" w:hAnsi="Arial"/>
          <w:sz w:val="16"/>
          <w:szCs w:val="16"/>
          <w:color w:val="auto"/>
        </w:rPr>
        <w:t>Options shall expire upon a date determined by the Committee, not to exceed ten (10) years from the Date of Grant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if the Option Period (other than in the case of an Incentive Stock Option) would expire at a time when trading in the shares of Common Stock is prohibited by the Company’s insider trading policy (or Company-imposed “blackout period”), then the Option Period shall be automatically extended until the thirtieth (30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10% of the voting power of all classes of stock of any member of the Company Group.</w:t>
      </w:r>
    </w:p>
    <w:p>
      <w:pPr>
        <w:spacing w:after="0" w:line="241" w:lineRule="exact"/>
        <w:rPr>
          <w:rFonts w:ascii="Arial" w:cs="Arial" w:eastAsia="Arial" w:hAnsi="Arial"/>
          <w:sz w:val="16"/>
          <w:szCs w:val="16"/>
          <w:color w:val="auto"/>
        </w:rPr>
      </w:pPr>
    </w:p>
    <w:p>
      <w:pPr>
        <w:ind w:firstLine="657"/>
        <w:spacing w:after="0" w:line="255" w:lineRule="auto"/>
        <w:tabs>
          <w:tab w:leader="none" w:pos="139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Method of Exercise and Form of Payment</w:t>
      </w:r>
      <w:r>
        <w:rPr>
          <w:rFonts w:ascii="Arial" w:cs="Arial" w:eastAsia="Arial" w:hAnsi="Arial"/>
          <w:sz w:val="18"/>
          <w:szCs w:val="18"/>
          <w:color w:val="auto"/>
        </w:rPr>
        <w:t>.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The Exercise Price shall be payable: (i) in cash, check, cash equivalent and/or shares of Common Stock valued at the Fair Market Value at the time the Option is exercised (including, pursuant to procedures approved by the Committee, by means of</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611" w:right="259" w:bottom="1440" w:gutter="0" w:footer="0" w:header="0"/>
        </w:sectPr>
      </w:pPr>
    </w:p>
    <w:bookmarkStart w:id="97" w:name="page98"/>
    <w:bookmarkEnd w:id="97"/>
    <w:p>
      <w:pPr>
        <w:spacing w:after="0" w:line="253" w:lineRule="auto"/>
        <w:rPr>
          <w:sz w:val="20"/>
          <w:szCs w:val="20"/>
          <w:color w:val="auto"/>
        </w:rPr>
      </w:pPr>
      <w:r>
        <w:rPr>
          <w:rFonts w:ascii="Arial" w:cs="Arial" w:eastAsia="Arial" w:hAnsi="Arial"/>
          <w:sz w:val="18"/>
          <w:szCs w:val="18"/>
          <w:color w:val="auto"/>
        </w:rPr>
        <w:t xml:space="preserve">attestation of ownership of a sufficient number of shares of Common Stock in lieu of actual issuance of such shares to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such shares of Common Stock are not subject to any pledge or other security interest and have been held by the Participant for at least six (6) months (or such other period as established from time to time by the Committee in order to avoid adverse accounting treatment applying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or (ii) by such other method as the Committee may permit, in its sole discretion, including, without limitation (A) in other property having a fair market value on the date of exercise equal to the Exercise Price; (B) if there is a public market for the shares of Common Stock at such time,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Any fractional shares of Common Stock shall be settled in cash.</w:t>
      </w:r>
    </w:p>
    <w:p>
      <w:pPr>
        <w:spacing w:after="0" w:line="249" w:lineRule="exact"/>
        <w:rPr>
          <w:sz w:val="20"/>
          <w:szCs w:val="20"/>
          <w:color w:val="auto"/>
        </w:rPr>
      </w:pPr>
    </w:p>
    <w:p>
      <w:pPr>
        <w:ind w:firstLine="657"/>
        <w:spacing w:after="0" w:line="254" w:lineRule="auto"/>
        <w:tabs>
          <w:tab w:leader="none" w:pos="1388"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Notification upon Disqualifying Disposition of an Incentive Stock Option</w:t>
      </w:r>
      <w:r>
        <w:rPr>
          <w:rFonts w:ascii="Arial" w:cs="Arial" w:eastAsia="Arial" w:hAnsi="Arial"/>
          <w:sz w:val="18"/>
          <w:szCs w:val="18"/>
          <w:color w:val="auto"/>
        </w:rPr>
        <w:t>. Each Participant awarded an Incentive Stock Option under the Plan shall notify the Company in writing immediately after the date the Participant makes a disqualifying disposition of any Common Stock acquired pursuant to the exercise of such Incentive Stock Option. A disqualifying disposition is any disposition (including, without limitation, any sale) of such Common Stock before the later of (i) the date that is two (2) years after the Date of Grant of the Incentive Stock Option, or (ii) the date that is one (1)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spacing w:after="0" w:line="246" w:lineRule="exact"/>
        <w:rPr>
          <w:rFonts w:ascii="Arial" w:cs="Arial" w:eastAsia="Arial" w:hAnsi="Arial"/>
          <w:sz w:val="18"/>
          <w:szCs w:val="18"/>
          <w:color w:val="auto"/>
        </w:rPr>
      </w:pPr>
    </w:p>
    <w:p>
      <w:pPr>
        <w:ind w:right="100" w:firstLine="657"/>
        <w:spacing w:after="0" w:line="259" w:lineRule="auto"/>
        <w:tabs>
          <w:tab w:leader="none" w:pos="1368"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236" w:lineRule="exact"/>
        <w:rPr>
          <w:rFonts w:ascii="Arial" w:cs="Arial" w:eastAsia="Arial" w:hAnsi="Arial"/>
          <w:sz w:val="18"/>
          <w:szCs w:val="18"/>
          <w:color w:val="auto"/>
        </w:rPr>
      </w:pPr>
    </w:p>
    <w:p>
      <w:pPr>
        <w:ind w:left="1420" w:hanging="844"/>
        <w:spacing w:after="0"/>
        <w:tabs>
          <w:tab w:leader="none" w:pos="14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jc w:val="both"/>
        <w:ind w:right="340" w:firstLine="657"/>
        <w:spacing w:after="0" w:line="312" w:lineRule="auto"/>
        <w:tabs>
          <w:tab w:leader="none" w:pos="1388"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Each SAR granted under the Plan shall be evidenced by an Award Agreement.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611" w:right="259" w:bottom="1440" w:gutter="0" w:footer="0" w:header="0"/>
        </w:sectPr>
      </w:pPr>
    </w:p>
    <w:bookmarkStart w:id="98" w:name="page99"/>
    <w:bookmarkEnd w:id="98"/>
    <w:p>
      <w:pPr>
        <w:jc w:val="both"/>
        <w:ind w:right="80" w:firstLine="657"/>
        <w:spacing w:after="0" w:line="259" w:lineRule="auto"/>
        <w:tabs>
          <w:tab w:leader="none" w:pos="1398"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Strike Price</w:t>
      </w:r>
      <w:r>
        <w:rPr>
          <w:rFonts w:ascii="Arial" w:cs="Arial" w:eastAsia="Arial" w:hAnsi="Arial"/>
          <w:sz w:val="18"/>
          <w:szCs w:val="18"/>
          <w:color w:val="auto"/>
        </w:rPr>
        <w:t>. Except as otherwise provided by the Committee in the case of Substitute Awards, the strike price (“</w:t>
      </w:r>
      <w:r>
        <w:rPr>
          <w:rFonts w:ascii="Arial" w:cs="Arial" w:eastAsia="Arial" w:hAnsi="Arial"/>
          <w:sz w:val="18"/>
          <w:szCs w:val="18"/>
          <w:u w:val="single" w:color="auto"/>
          <w:color w:val="auto"/>
        </w:rPr>
        <w:t>Strike Price</w:t>
      </w:r>
      <w:r>
        <w:rPr>
          <w:rFonts w:ascii="Arial" w:cs="Arial" w:eastAsia="Arial" w:hAnsi="Arial"/>
          <w:sz w:val="18"/>
          <w:szCs w:val="18"/>
          <w:color w:val="auto"/>
        </w:rPr>
        <w:t>”) per share of Common Stock for each SAR shall not be less than 100% of the Fair Market Value of such share (determined as of the Date of Grant). Notwithstanding the foregoing, a SAR granted in tandem with (or in substitution for) an Option previously granted shall have a Strike Price equal to the Exercise Price of the corresponding Option.</w:t>
      </w:r>
    </w:p>
    <w:p>
      <w:pPr>
        <w:spacing w:after="0" w:line="240" w:lineRule="exact"/>
        <w:rPr>
          <w:rFonts w:ascii="Arial" w:cs="Arial" w:eastAsia="Arial" w:hAnsi="Arial"/>
          <w:sz w:val="18"/>
          <w:szCs w:val="18"/>
          <w:color w:val="auto"/>
        </w:rPr>
      </w:pPr>
    </w:p>
    <w:p>
      <w:pPr>
        <w:ind w:left="1400" w:hanging="743"/>
        <w:spacing w:after="0"/>
        <w:tabs>
          <w:tab w:leader="none" w:pos="140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580" w:right="80" w:firstLine="645"/>
        <w:spacing w:after="0" w:line="302" w:lineRule="auto"/>
        <w:tabs>
          <w:tab w:leader="none" w:pos="1938" w:val="left"/>
        </w:tabs>
        <w:numPr>
          <w:ilvl w:val="2"/>
          <w:numId w:val="84"/>
        </w:numPr>
        <w:rPr>
          <w:rFonts w:ascii="Arial" w:cs="Arial" w:eastAsia="Arial" w:hAnsi="Arial"/>
          <w:sz w:val="16"/>
          <w:szCs w:val="16"/>
          <w:color w:val="auto"/>
        </w:rPr>
      </w:pPr>
      <w:r>
        <w:rPr>
          <w:rFonts w:ascii="Arial" w:cs="Arial" w:eastAsia="Arial" w:hAnsi="Arial"/>
          <w:sz w:val="16"/>
          <w:szCs w:val="16"/>
          <w:color w:val="auto"/>
        </w:rPr>
        <w:t xml:space="preserve">A SAR granted in connection with an Option shall become exercisable and shall expire according to the same vesting schedule and expiration provisions as the corresponding Option. A SAR granted independent of an Option shall vest and become exercisable in such manner and on such date or dates or upon such event or events as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such vesting dates or events, the Committee may, in its sole discretion, accelerate the vesting of any SAR at any time and for any reason.</w:t>
      </w:r>
    </w:p>
    <w:p>
      <w:pPr>
        <w:spacing w:after="0" w:line="208" w:lineRule="exact"/>
        <w:rPr>
          <w:rFonts w:ascii="Arial" w:cs="Arial" w:eastAsia="Arial" w:hAnsi="Arial"/>
          <w:sz w:val="16"/>
          <w:szCs w:val="16"/>
          <w:color w:val="auto"/>
        </w:rPr>
      </w:pPr>
    </w:p>
    <w:p>
      <w:pPr>
        <w:ind w:left="580" w:right="200" w:firstLine="645"/>
        <w:spacing w:after="0" w:line="259" w:lineRule="auto"/>
        <w:tabs>
          <w:tab w:leader="none" w:pos="1988" w:val="left"/>
        </w:tabs>
        <w:numPr>
          <w:ilvl w:val="2"/>
          <w:numId w:val="84"/>
        </w:numPr>
        <w:rPr>
          <w:rFonts w:ascii="Arial" w:cs="Arial" w:eastAsia="Arial" w:hAnsi="Arial"/>
          <w:sz w:val="18"/>
          <w:szCs w:val="18"/>
          <w:color w:val="auto"/>
        </w:rPr>
      </w:pPr>
      <w:r>
        <w:rPr>
          <w:rFonts w:ascii="Arial" w:cs="Arial" w:eastAsia="Arial" w:hAnsi="Arial"/>
          <w:sz w:val="18"/>
          <w:szCs w:val="18"/>
          <w:color w:val="auto"/>
        </w:rPr>
        <w:t>SARs shall expire upon a date determined by the Committee, not to exceed ten (10) years from the Date of Grant (the “</w:t>
      </w:r>
      <w:r>
        <w:rPr>
          <w:rFonts w:ascii="Arial" w:cs="Arial" w:eastAsia="Arial" w:hAnsi="Arial"/>
          <w:sz w:val="18"/>
          <w:szCs w:val="18"/>
          <w:u w:val="single" w:color="auto"/>
          <w:color w:val="auto"/>
        </w:rPr>
        <w:t>SAR</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SAR Period would expire at a time when trading in the shares of Common Stock is prohibited by the Company’s insider trading policy (or Company-imposed “blackout period”), then the SAR Period shall be automatically extended until the 30th day following the expiration of such prohibition.</w:t>
      </w:r>
    </w:p>
    <w:p>
      <w:pPr>
        <w:spacing w:after="0" w:line="240" w:lineRule="exact"/>
        <w:rPr>
          <w:rFonts w:ascii="Arial" w:cs="Arial" w:eastAsia="Arial" w:hAnsi="Arial"/>
          <w:sz w:val="18"/>
          <w:szCs w:val="18"/>
          <w:color w:val="auto"/>
        </w:rPr>
      </w:pPr>
    </w:p>
    <w:p>
      <w:pPr>
        <w:ind w:firstLine="657"/>
        <w:spacing w:after="0" w:line="342" w:lineRule="auto"/>
        <w:tabs>
          <w:tab w:leader="none" w:pos="1398"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SARs which have become exercisable may be exercised by delivery of written or electronic notice of exercise to the Company in accordance with the terms of the Award, specifying the number of SARs to be exercised and the date on which such SARs were awarded.</w:t>
      </w:r>
    </w:p>
    <w:p>
      <w:pPr>
        <w:spacing w:after="0" w:line="177" w:lineRule="exact"/>
        <w:rPr>
          <w:rFonts w:ascii="Arial" w:cs="Arial" w:eastAsia="Arial" w:hAnsi="Arial"/>
          <w:sz w:val="16"/>
          <w:szCs w:val="16"/>
          <w:color w:val="auto"/>
        </w:rPr>
      </w:pPr>
    </w:p>
    <w:p>
      <w:pPr>
        <w:ind w:right="100" w:firstLine="657"/>
        <w:spacing w:after="0" w:line="257" w:lineRule="auto"/>
        <w:tabs>
          <w:tab w:leader="none" w:pos="1388"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Upon the exercise of a SAR, the Company shall pay to the Participant an amount equal to the number of shares subject to the SAR that is being exercised multiplied by the excess of the Fair Market Value of one (1) share of Common Stock on the exercise date over the Strike Price, less an amount equal to any Federal, state, local and non-U.S. income, employment and any other applicable taxes required to be withheld. The Company shall pay such amount in cash, in shares of Common Stock valued at Fair Market Value, or any combination thereof, as determined by the Committee. Any fractional shares of Common Stock shall be settled in cash.</w:t>
      </w:r>
    </w:p>
    <w:p>
      <w:pPr>
        <w:spacing w:after="0" w:line="238" w:lineRule="exact"/>
        <w:rPr>
          <w:rFonts w:ascii="Arial" w:cs="Arial" w:eastAsia="Arial" w:hAnsi="Arial"/>
          <w:sz w:val="18"/>
          <w:szCs w:val="18"/>
          <w:color w:val="auto"/>
        </w:rPr>
      </w:pPr>
    </w:p>
    <w:p>
      <w:pPr>
        <w:ind w:left="1420" w:hanging="844"/>
        <w:spacing w:after="0"/>
        <w:tabs>
          <w:tab w:leader="none" w:pos="14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jc w:val="both"/>
        <w:ind w:right="120" w:firstLine="657"/>
        <w:spacing w:after="0" w:line="264" w:lineRule="auto"/>
        <w:tabs>
          <w:tab w:leader="none" w:pos="1388"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grant of Restricted Stock and Restricted Stock Units shall be evidenced by an Award Agreement. Each Restricted Stock and Restricted Stock Unit so granted shall be subject to the conditions set forth in this Section 9, and to such other conditions not inconsistent with the Plan as may be reflected in the applicable Award Agreement.</w:t>
      </w:r>
    </w:p>
    <w:p>
      <w:pPr>
        <w:spacing w:after="0" w:line="235" w:lineRule="exact"/>
        <w:rPr>
          <w:rFonts w:ascii="Arial" w:cs="Arial" w:eastAsia="Arial" w:hAnsi="Arial"/>
          <w:sz w:val="18"/>
          <w:szCs w:val="18"/>
          <w:color w:val="auto"/>
        </w:rPr>
      </w:pPr>
    </w:p>
    <w:p>
      <w:pPr>
        <w:ind w:right="280" w:firstLine="657"/>
        <w:spacing w:after="0" w:line="308" w:lineRule="auto"/>
        <w:tabs>
          <w:tab w:leader="none" w:pos="1398"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Stock Certificates and Book-Entry; Escrow or Similar Arrangement</w:t>
      </w:r>
      <w:r>
        <w:rPr>
          <w:rFonts w:ascii="Arial" w:cs="Arial" w:eastAsia="Arial" w:hAnsi="Arial"/>
          <w:sz w:val="17"/>
          <w:szCs w:val="17"/>
          <w:color w:val="auto"/>
        </w:rPr>
        <w:t>. Upon the grant of Restricted Stock, the Committee shall cause a stock certificate registered in the name of the Participant to be issued or shall cause share(s) of Common Stock to be registered in the</w:t>
      </w: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638" w:right="259" w:bottom="1440" w:gutter="0" w:footer="0" w:header="0"/>
        </w:sectPr>
      </w:pPr>
    </w:p>
    <w:bookmarkStart w:id="99" w:name="page100"/>
    <w:bookmarkEnd w:id="99"/>
    <w:p>
      <w:pPr>
        <w:spacing w:after="0" w:line="269" w:lineRule="auto"/>
        <w:rPr>
          <w:sz w:val="20"/>
          <w:szCs w:val="20"/>
          <w:color w:val="auto"/>
        </w:rPr>
      </w:pPr>
      <w:r>
        <w:rPr>
          <w:rFonts w:ascii="Arial" w:cs="Arial" w:eastAsia="Arial" w:hAnsi="Arial"/>
          <w:sz w:val="17"/>
          <w:szCs w:val="17"/>
          <w:color w:val="auto"/>
        </w:rPr>
        <w:t>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under Section 14(a) of the Plan or as otherwise determined by the Committee) an agreement evidencing an Award of Restricted Stock and, if applicable, an escrow agreement and blank stock power within the amount of time specified by the Committee, the Award shall be null and void. Subject to the restrictions set forth in this Section 9, Section 14(c)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spacing w:after="0" w:line="237" w:lineRule="exact"/>
        <w:rPr>
          <w:sz w:val="20"/>
          <w:szCs w:val="20"/>
          <w:color w:val="auto"/>
        </w:rPr>
      </w:pPr>
    </w:p>
    <w:p>
      <w:pPr>
        <w:ind w:right="120" w:firstLine="657"/>
        <w:spacing w:after="0" w:line="277" w:lineRule="auto"/>
        <w:tabs>
          <w:tab w:leader="none" w:pos="138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Restricted Stock and Restricted Stock Units shall vest, and any applicable Restricted Period shall lapse, in such manner and on such date or dates or upon such event or events as determined by the Committee.</w:t>
      </w:r>
    </w:p>
    <w:p>
      <w:pPr>
        <w:spacing w:after="0" w:line="224" w:lineRule="exact"/>
        <w:rPr>
          <w:rFonts w:ascii="Arial" w:cs="Arial" w:eastAsia="Arial" w:hAnsi="Arial"/>
          <w:sz w:val="18"/>
          <w:szCs w:val="18"/>
          <w:color w:val="auto"/>
        </w:rPr>
      </w:pPr>
    </w:p>
    <w:p>
      <w:pPr>
        <w:ind w:left="1400" w:hanging="743"/>
        <w:spacing w:after="0"/>
        <w:tabs>
          <w:tab w:leader="none" w:pos="14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Issuance of Restricted Stock and Settlement of Restricted Stock Units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580" w:right="60" w:firstLine="645"/>
        <w:spacing w:after="0" w:line="253" w:lineRule="auto"/>
        <w:tabs>
          <w:tab w:leader="none" w:pos="1938"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Participant in cash or, in the sole discretion of the Committee, in shares of Common Stock having a Fair Market Value (on the date of distribution) equal to the amount of such dividends, upon the release of restrictions on such share and, if such share is forfeited, the Participant shall have no right to such dividends.</w:t>
      </w:r>
    </w:p>
    <w:p>
      <w:pPr>
        <w:spacing w:after="0" w:line="251" w:lineRule="exact"/>
        <w:rPr>
          <w:rFonts w:ascii="Arial" w:cs="Arial" w:eastAsia="Arial" w:hAnsi="Arial"/>
          <w:sz w:val="18"/>
          <w:szCs w:val="18"/>
          <w:color w:val="auto"/>
        </w:rPr>
      </w:pPr>
    </w:p>
    <w:p>
      <w:pPr>
        <w:ind w:left="580" w:right="140" w:firstLine="645"/>
        <w:spacing w:after="0" w:line="257" w:lineRule="auto"/>
        <w:tabs>
          <w:tab w:leader="none" w:pos="19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(1) share of Common Stock (or other securities or other property, as applicable) for each such outstanding Restricted Stock Unit;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in its sole discretion, elect to (A) pay cash or part cash and part shares of Common Stock in lieu of issuing only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in</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611" w:right="259" w:bottom="1440" w:gutter="0" w:footer="0" w:header="0"/>
        </w:sectPr>
      </w:pPr>
    </w:p>
    <w:bookmarkStart w:id="100" w:name="page101"/>
    <w:bookmarkEnd w:id="100"/>
    <w:p>
      <w:pPr>
        <w:ind w:left="640" w:right="40"/>
        <w:spacing w:after="0" w:line="257" w:lineRule="auto"/>
        <w:rPr>
          <w:sz w:val="20"/>
          <w:szCs w:val="20"/>
          <w:color w:val="auto"/>
        </w:rPr>
      </w:pPr>
      <w:r>
        <w:rPr>
          <w:rFonts w:ascii="Arial" w:cs="Arial" w:eastAsia="Arial" w:hAnsi="Arial"/>
          <w:sz w:val="18"/>
          <w:szCs w:val="18"/>
          <w:color w:val="auto"/>
        </w:rPr>
        <w:t>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w:t>
      </w:r>
    </w:p>
    <w:p>
      <w:pPr>
        <w:spacing w:after="0" w:line="242" w:lineRule="exact"/>
        <w:rPr>
          <w:sz w:val="20"/>
          <w:szCs w:val="20"/>
          <w:color w:val="auto"/>
        </w:rPr>
      </w:pPr>
    </w:p>
    <w:p>
      <w:pPr>
        <w:jc w:val="both"/>
        <w:ind w:left="60" w:right="220" w:firstLine="657"/>
        <w:spacing w:after="0" w:line="264" w:lineRule="auto"/>
        <w:tabs>
          <w:tab w:leader="none" w:pos="144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if any, or book entry representing Restricted Stock awarded under the Plan, if any, shall bear a legend or book entry notation substantially in the form of the following, in addition to any other information the Company deems appropriate, until the lapse of all restrictions with respect to such shares of Common Stock:</w:t>
      </w:r>
    </w:p>
    <w:p>
      <w:pPr>
        <w:spacing w:after="0" w:line="208" w:lineRule="exact"/>
        <w:rPr>
          <w:sz w:val="20"/>
          <w:szCs w:val="20"/>
          <w:color w:val="auto"/>
        </w:rPr>
      </w:pPr>
    </w:p>
    <w:p>
      <w:pPr>
        <w:jc w:val="both"/>
        <w:ind w:left="640" w:right="620"/>
        <w:spacing w:after="0" w:line="279" w:lineRule="auto"/>
        <w:rPr>
          <w:sz w:val="20"/>
          <w:szCs w:val="20"/>
          <w:color w:val="auto"/>
        </w:rPr>
      </w:pPr>
      <w:r>
        <w:rPr>
          <w:rFonts w:ascii="Arial" w:cs="Arial" w:eastAsia="Arial" w:hAnsi="Arial"/>
          <w:sz w:val="17"/>
          <w:szCs w:val="17"/>
          <w:color w:val="auto"/>
        </w:rPr>
        <w:t>TRANSFER OF THIS CERTIFICATE AND THE SHARES REPRESENTED HEREBY IS RESTRICTED PURSUANT TO THE TERMS OF THE NATIONAL VISION HOLDINGS, INC. 2017 OMNIBUS INCENTIVE PLAN AND A RESTRICTED STOCK AWARD AGREEMENT BETWEEN NATIONAL VISION HOLDINGS, INC. AND PARTICIPANT. A COPY OF SUCH PLAN AND AWARD AGREEMENT IS ON FILE AT THE PRINCIPAL EXECUTIVE OFFICES OF NATIONAL VISION HOLDINGS, INC.</w:t>
      </w:r>
    </w:p>
    <w:p>
      <w:pPr>
        <w:spacing w:after="0" w:line="221" w:lineRule="exact"/>
        <w:rPr>
          <w:sz w:val="20"/>
          <w:szCs w:val="20"/>
          <w:color w:val="auto"/>
        </w:rPr>
      </w:pPr>
    </w:p>
    <w:p>
      <w:pPr>
        <w:ind w:left="-20" w:firstLine="656"/>
        <w:spacing w:after="0" w:line="261" w:lineRule="auto"/>
        <w:tabs>
          <w:tab w:leader="none" w:pos="1447"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Other Equity-Based Awards</w:t>
      </w:r>
      <w:r>
        <w:rPr>
          <w:rFonts w:ascii="Arial" w:cs="Arial" w:eastAsia="Arial" w:hAnsi="Arial"/>
          <w:sz w:val="18"/>
          <w:szCs w:val="18"/>
          <w:color w:val="auto"/>
        </w:rPr>
        <w:t>. The Committee may grant Other Equity-Based Awards under the Plan to Eligible Persons, alone or in</w:t>
      </w:r>
      <w:r>
        <w:rPr>
          <w:rFonts w:ascii="Arial" w:cs="Arial" w:eastAsia="Arial" w:hAnsi="Arial"/>
          <w:sz w:val="18"/>
          <w:szCs w:val="18"/>
          <w:b w:val="1"/>
          <w:bCs w:val="1"/>
          <w:color w:val="auto"/>
        </w:rPr>
        <w:t xml:space="preserve"> </w:t>
      </w:r>
      <w:r>
        <w:rPr>
          <w:rFonts w:ascii="Arial" w:cs="Arial" w:eastAsia="Arial" w:hAnsi="Arial"/>
          <w:sz w:val="18"/>
          <w:szCs w:val="18"/>
          <w:color w:val="auto"/>
        </w:rPr>
        <w:t>tandem with other Awards, in such amounts and dependent on such conditions as the Committee shall from time to time in its sole discretion determine. Each Other Equity-Based Award granted under the Plan shall be evidenced by an Award Agreement and shall be subject to such conditions not inconsistent with the Plan as may be reflected in the applicable Award Agreement.</w:t>
      </w:r>
    </w:p>
    <w:p>
      <w:pPr>
        <w:spacing w:after="0" w:line="234" w:lineRule="exact"/>
        <w:rPr>
          <w:rFonts w:ascii="Arial" w:cs="Arial" w:eastAsia="Arial" w:hAnsi="Arial"/>
          <w:sz w:val="18"/>
          <w:szCs w:val="18"/>
          <w:b w:val="1"/>
          <w:bCs w:val="1"/>
          <w:color w:val="auto"/>
        </w:rPr>
      </w:pPr>
    </w:p>
    <w:p>
      <w:pPr>
        <w:ind w:left="-20" w:right="180" w:firstLine="656"/>
        <w:spacing w:after="0" w:line="313" w:lineRule="auto"/>
        <w:tabs>
          <w:tab w:leader="none" w:pos="1438"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Cash-Based Incentive Awards. </w:t>
      </w:r>
      <w:r>
        <w:rPr>
          <w:rFonts w:ascii="Arial" w:cs="Arial" w:eastAsia="Arial" w:hAnsi="Arial"/>
          <w:sz w:val="17"/>
          <w:szCs w:val="17"/>
          <w:color w:val="auto"/>
        </w:rPr>
        <w:t>The Committee may grant Cash-Based Incentive Awards under the Plan to any Eligible Person. Each</w:t>
      </w:r>
      <w:r>
        <w:rPr>
          <w:rFonts w:ascii="Arial" w:cs="Arial" w:eastAsia="Arial" w:hAnsi="Arial"/>
          <w:sz w:val="17"/>
          <w:szCs w:val="17"/>
          <w:b w:val="1"/>
          <w:bCs w:val="1"/>
          <w:color w:val="auto"/>
        </w:rPr>
        <w:t xml:space="preserve"> </w:t>
      </w:r>
      <w:r>
        <w:rPr>
          <w:rFonts w:ascii="Arial" w:cs="Arial" w:eastAsia="Arial" w:hAnsi="Arial"/>
          <w:sz w:val="17"/>
          <w:szCs w:val="17"/>
          <w:color w:val="auto"/>
        </w:rPr>
        <w:t>Cash-Based Incentive Award granted under the Plan shall be evidenced in such form as the Committee may determine from time to time.</w:t>
      </w:r>
    </w:p>
    <w:p>
      <w:pPr>
        <w:spacing w:after="0" w:line="192" w:lineRule="exact"/>
        <w:rPr>
          <w:rFonts w:ascii="Arial" w:cs="Arial" w:eastAsia="Arial" w:hAnsi="Arial"/>
          <w:sz w:val="17"/>
          <w:szCs w:val="17"/>
          <w:b w:val="1"/>
          <w:bCs w:val="1"/>
          <w:color w:val="auto"/>
        </w:rPr>
      </w:pPr>
    </w:p>
    <w:p>
      <w:pPr>
        <w:ind w:left="-20" w:right="380" w:firstLine="656"/>
        <w:spacing w:after="0" w:line="282" w:lineRule="auto"/>
        <w:tabs>
          <w:tab w:leader="none" w:pos="1447"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 Structure and Similar Events</w:t>
      </w:r>
      <w:r>
        <w:rPr>
          <w:rFonts w:ascii="Arial" w:cs="Arial" w:eastAsia="Arial" w:hAnsi="Arial"/>
          <w:sz w:val="18"/>
          <w:szCs w:val="18"/>
          <w:color w:val="auto"/>
        </w:rPr>
        <w:t>. Notwithstanding any other provision in this Plan to the contrary,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shall apply to all Awards granted hereunder (other than Cash-Based Incentive Awards):</w:t>
      </w:r>
    </w:p>
    <w:p>
      <w:pPr>
        <w:spacing w:after="0" w:line="219" w:lineRule="exact"/>
        <w:rPr>
          <w:rFonts w:ascii="Arial" w:cs="Arial" w:eastAsia="Arial" w:hAnsi="Arial"/>
          <w:sz w:val="18"/>
          <w:szCs w:val="18"/>
          <w:b w:val="1"/>
          <w:bCs w:val="1"/>
          <w:color w:val="auto"/>
        </w:rPr>
      </w:pPr>
    </w:p>
    <w:p>
      <w:pPr>
        <w:ind w:left="60" w:firstLine="657"/>
        <w:spacing w:after="0" w:line="276" w:lineRule="auto"/>
        <w:tabs>
          <w:tab w:leader="none" w:pos="1448"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In the event of (i) any dividend (other than regular 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(including a Change in Control); or (ii) unusual or nonrecurring events affecting the Company, including changes in applicable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611" w:right="259" w:bottom="1440" w:gutter="0" w:footer="0" w:header="0"/>
        </w:sectPr>
      </w:pPr>
    </w:p>
    <w:bookmarkStart w:id="101" w:name="page102"/>
    <w:bookmarkEnd w:id="101"/>
    <w:p>
      <w:pPr>
        <w:spacing w:after="0" w:line="283" w:lineRule="auto"/>
        <w:rPr>
          <w:sz w:val="20"/>
          <w:szCs w:val="20"/>
          <w:color w:val="auto"/>
        </w:rPr>
      </w:pPr>
      <w:r>
        <w:rPr>
          <w:rFonts w:ascii="Arial" w:cs="Arial" w:eastAsia="Arial" w:hAnsi="Arial"/>
          <w:sz w:val="16"/>
          <w:szCs w:val="16"/>
          <w:color w:val="auto"/>
        </w:rPr>
        <w:t>rules, rulings, regulations or other requirements, that the Committee determines, in its sole discretion, could result in substantial dilution or enlargement of the rights intended to be granted to, or available for, Participants (any event in (i) or (ii), an “</w:t>
      </w:r>
      <w:r>
        <w:rPr>
          <w:rFonts w:ascii="Arial" w:cs="Arial" w:eastAsia="Arial" w:hAnsi="Arial"/>
          <w:sz w:val="16"/>
          <w:szCs w:val="16"/>
          <w:u w:val="single" w:color="auto"/>
          <w:color w:val="auto"/>
        </w:rPr>
        <w:t>Adjustment Event</w:t>
      </w:r>
      <w:r>
        <w:rPr>
          <w:rFonts w:ascii="Arial" w:cs="Arial" w:eastAsia="Arial" w:hAnsi="Arial"/>
          <w:sz w:val="16"/>
          <w:szCs w:val="16"/>
          <w:color w:val="auto"/>
        </w:rPr>
        <w:t xml:space="preserve">”), the Committee shall, in respect of any such Adjustment Event, make such proportionate substitution or adjustment, if any, as it deems equitable, to any or all of (A) the Absolute Share Limit, or any other limit applicable under the Plan with respect to the number of Awards which may be granted hereunder; (B) the number of shares of Common Stock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of shares of Common Stock or other securities of the Company (or number and kind of other securities or other property) subject to outstanding Awards or to which outstanding Awards relate; (II) the Exercise Price or Strike Price with respect to any Award; or (III) any applicable performance measures;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any “equity restructuring” (within the meaning of the Financial Accounting Standards Board Accounting Standards Codification Topic</w:t>
      </w:r>
    </w:p>
    <w:p>
      <w:pPr>
        <w:spacing w:after="0" w:line="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718 (or any successor pronouncement thereto)), the Committee shall make an equitable or proportionate adjustment to outstanding Awards to reflect such equity restructuring.</w:t>
      </w:r>
    </w:p>
    <w:p>
      <w:pPr>
        <w:spacing w:after="0" w:line="238" w:lineRule="exact"/>
        <w:rPr>
          <w:sz w:val="20"/>
          <w:szCs w:val="20"/>
          <w:color w:val="auto"/>
        </w:rPr>
      </w:pPr>
    </w:p>
    <w:p>
      <w:pPr>
        <w:ind w:right="60" w:firstLine="657"/>
        <w:spacing w:after="0" w:line="277" w:lineRule="auto"/>
        <w:tabs>
          <w:tab w:leader="none" w:pos="139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Without limiting the foregoing, in connection with any Change in Control, the Committee may, in its sole discretion, provide for any one or more of the following:</w:t>
      </w:r>
    </w:p>
    <w:p>
      <w:pPr>
        <w:spacing w:after="0" w:line="224" w:lineRule="exact"/>
        <w:rPr>
          <w:rFonts w:ascii="Arial" w:cs="Arial" w:eastAsia="Arial" w:hAnsi="Arial"/>
          <w:sz w:val="18"/>
          <w:szCs w:val="18"/>
          <w:color w:val="auto"/>
        </w:rPr>
      </w:pPr>
    </w:p>
    <w:p>
      <w:pPr>
        <w:ind w:left="580" w:right="60" w:firstLine="645"/>
        <w:spacing w:after="0" w:line="259" w:lineRule="auto"/>
        <w:tabs>
          <w:tab w:leader="none" w:pos="1938"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substitution or assumption of Awards, or to the extent that the surviving entity (or Affiliate thereof) of such Change in Control does not substitute or assume the Awards, full acceleration of vesting of, exercisability of, or lapse of restrictions on, as applicable, any Awards;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with respect to any performance-vested Awards, any such acceleration of vesting, exercisability, or lapse of restrictions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based on actual performance through the date of such Change in Control; and</w:t>
      </w:r>
    </w:p>
    <w:p>
      <w:pPr>
        <w:spacing w:after="0" w:line="240" w:lineRule="exact"/>
        <w:rPr>
          <w:rFonts w:ascii="Arial" w:cs="Arial" w:eastAsia="Arial" w:hAnsi="Arial"/>
          <w:sz w:val="18"/>
          <w:szCs w:val="18"/>
          <w:color w:val="auto"/>
        </w:rPr>
      </w:pPr>
    </w:p>
    <w:p>
      <w:pPr>
        <w:ind w:left="580" w:firstLine="645"/>
        <w:spacing w:after="0" w:line="270" w:lineRule="auto"/>
        <w:tabs>
          <w:tab w:leader="none" w:pos="1988" w:val="left"/>
        </w:tabs>
        <w:numPr>
          <w:ilvl w:val="1"/>
          <w:numId w:val="89"/>
        </w:numPr>
        <w:rPr>
          <w:rFonts w:ascii="Arial" w:cs="Arial" w:eastAsia="Arial" w:hAnsi="Arial"/>
          <w:sz w:val="17"/>
          <w:szCs w:val="17"/>
          <w:color w:val="auto"/>
        </w:rPr>
      </w:pPr>
      <w:r>
        <w:rPr>
          <w:rFonts w:ascii="Arial" w:cs="Arial" w:eastAsia="Arial" w:hAnsi="Arial"/>
          <w:sz w:val="17"/>
          <w:szCs w:val="17"/>
          <w:color w:val="auto"/>
        </w:rPr>
        <w:t>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(it being understood that, in such event, any Option or SAR having a per share Exercise Price or Strike Price equal to, or in excess of, the Fair Market Value of a share of Common Stock subject thereto may be canceled and terminated without any payment or consideration therefor).</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611" w:right="259" w:bottom="1440" w:gutter="0" w:footer="0" w:header="0"/>
        </w:sectPr>
      </w:pPr>
    </w:p>
    <w:bookmarkStart w:id="102" w:name="page103"/>
    <w:bookmarkEnd w:id="102"/>
    <w:p>
      <w:pPr>
        <w:ind w:right="120"/>
        <w:spacing w:after="0" w:line="259" w:lineRule="auto"/>
        <w:rPr>
          <w:sz w:val="20"/>
          <w:szCs w:val="20"/>
          <w:color w:val="auto"/>
        </w:rPr>
      </w:pPr>
      <w:r>
        <w:rPr>
          <w:rFonts w:ascii="Arial" w:cs="Arial" w:eastAsia="Arial" w:hAnsi="Arial"/>
          <w:sz w:val="18"/>
          <w:szCs w:val="18"/>
          <w:color w:val="auto"/>
        </w:rPr>
        <w:t>For purposes of clause (i) above, an award will be considered granted in substitution of an Award if it has an equivalent value (as determined consistent with clause (ii) above) with the original Award, whether designated in securities of the acquiror in such Change in Control transaction (or an Affiliate thereof), or in cash or other property (including in the same consideration that other stockholders of the Company receive in connection with such Change in Control transaction), and retains the vesting schedule applicable to the original Award.</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Payments to holders pursuant to clause (ii)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Common Stock covered by the Award at such time (less any applicable Exercise Price or Strike Price).</w:t>
      </w:r>
    </w:p>
    <w:p>
      <w:pPr>
        <w:spacing w:after="0" w:line="241" w:lineRule="exact"/>
        <w:rPr>
          <w:sz w:val="20"/>
          <w:szCs w:val="20"/>
          <w:color w:val="auto"/>
        </w:rPr>
      </w:pPr>
    </w:p>
    <w:p>
      <w:pPr>
        <w:ind w:left="1480" w:hanging="743"/>
        <w:spacing w:after="0"/>
        <w:tabs>
          <w:tab w:leader="none" w:pos="1480" w:val="left"/>
        </w:tabs>
        <w:numPr>
          <w:ilvl w:val="2"/>
          <w:numId w:val="90"/>
        </w:numPr>
        <w:rPr>
          <w:rFonts w:ascii="Arial" w:cs="Arial" w:eastAsia="Arial" w:hAnsi="Arial"/>
          <w:sz w:val="16"/>
          <w:szCs w:val="16"/>
          <w:color w:val="auto"/>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Prior to any payment or adjustment contemplated under this Section 12, the Committee may require a Participant to</w:t>
      </w:r>
    </w:p>
    <w:p>
      <w:pPr>
        <w:spacing w:after="0" w:line="46" w:lineRule="exact"/>
        <w:rPr>
          <w:rFonts w:ascii="Arial" w:cs="Arial" w:eastAsia="Arial" w:hAnsi="Arial"/>
          <w:sz w:val="16"/>
          <w:szCs w:val="16"/>
          <w:color w:val="auto"/>
        </w:rPr>
      </w:pPr>
    </w:p>
    <w:p>
      <w:pPr>
        <w:jc w:val="both"/>
        <w:ind w:left="80" w:right="260" w:firstLine="9"/>
        <w:spacing w:after="0" w:line="254" w:lineRule="auto"/>
        <w:tabs>
          <w:tab w:leader="none" w:pos="2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spacing w:after="0" w:line="243" w:lineRule="exact"/>
        <w:rPr>
          <w:rFonts w:ascii="Arial" w:cs="Arial" w:eastAsia="Arial" w:hAnsi="Arial"/>
          <w:sz w:val="18"/>
          <w:szCs w:val="18"/>
          <w:color w:val="auto"/>
        </w:rPr>
      </w:pPr>
    </w:p>
    <w:p>
      <w:pPr>
        <w:ind w:left="80" w:right="360" w:firstLine="657"/>
        <w:spacing w:after="0" w:line="277" w:lineRule="auto"/>
        <w:tabs>
          <w:tab w:leader="none" w:pos="1478" w:val="left"/>
        </w:tabs>
        <w:numPr>
          <w:ilvl w:val="2"/>
          <w:numId w:val="9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Any adjustment provided under this Section 12 may provide for the elimination of any fractional share that might otherwise become subject to an Award.</w:t>
      </w:r>
    </w:p>
    <w:p>
      <w:pPr>
        <w:spacing w:after="0" w:line="224" w:lineRule="exact"/>
        <w:rPr>
          <w:rFonts w:ascii="Arial" w:cs="Arial" w:eastAsia="Arial" w:hAnsi="Arial"/>
          <w:sz w:val="18"/>
          <w:szCs w:val="18"/>
          <w:color w:val="auto"/>
        </w:rPr>
      </w:pPr>
    </w:p>
    <w:p>
      <w:pPr>
        <w:ind w:left="80" w:right="120" w:firstLine="657"/>
        <w:spacing w:after="0" w:line="277" w:lineRule="auto"/>
        <w:tabs>
          <w:tab w:leader="none" w:pos="1468" w:val="left"/>
        </w:tabs>
        <w:numPr>
          <w:ilvl w:val="2"/>
          <w:numId w:val="9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Any adjustment, substitution, determination of value or other action taken by the Committee under this Section 12 shall be conclusive and binding for all purposes.</w:t>
      </w:r>
    </w:p>
    <w:p>
      <w:pPr>
        <w:spacing w:after="0" w:line="220" w:lineRule="exact"/>
        <w:rPr>
          <w:rFonts w:ascii="Arial" w:cs="Arial" w:eastAsia="Arial" w:hAnsi="Arial"/>
          <w:sz w:val="18"/>
          <w:szCs w:val="18"/>
          <w:color w:val="auto"/>
        </w:rPr>
      </w:pPr>
    </w:p>
    <w:p>
      <w:pPr>
        <w:ind w:left="1480" w:hanging="824"/>
        <w:spacing w:after="0"/>
        <w:tabs>
          <w:tab w:leader="none" w:pos="148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Termination</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ind w:left="80" w:firstLine="657"/>
        <w:spacing w:after="0" w:line="289" w:lineRule="auto"/>
        <w:tabs>
          <w:tab w:leader="none" w:pos="1468" w:val="left"/>
        </w:tabs>
        <w:numPr>
          <w:ilvl w:val="2"/>
          <w:numId w:val="92"/>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xml:space="preserve">. The Board may amend, alter, suspend, discontinue, or terminate the Plan or any portion thereof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alteration, suspension, discontinuance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 5 or 12 of the Plan); or (iii) it would materially modify the requirements for participation in the Plan;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Section 13(c) of the Plan without stockholder approval.</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3" w:name="page104"/>
    <w:bookmarkEnd w:id="103"/>
    <w:p>
      <w:pPr>
        <w:ind w:right="100" w:firstLine="657"/>
        <w:spacing w:after="0" w:line="297" w:lineRule="auto"/>
        <w:tabs>
          <w:tab w:leader="none" w:pos="1398"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Arial" w:cs="Arial" w:eastAsia="Arial" w:hAnsi="Arial"/>
          <w:sz w:val="16"/>
          <w:szCs w:val="16"/>
          <w:i w:val="1"/>
          <w:iCs w:val="1"/>
          <w:color w:val="auto"/>
        </w:rPr>
        <w:t>provided</w:t>
      </w:r>
      <w:r>
        <w:rPr>
          <w:rFonts w:ascii="Arial" w:cs="Arial" w:eastAsia="Arial" w:hAnsi="Arial"/>
          <w:sz w:val="16"/>
          <w:szCs w:val="16"/>
          <w:color w:val="auto"/>
        </w:rPr>
        <w:t>, that, other than pursuant to Section 12,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212" w:lineRule="exact"/>
        <w:rPr>
          <w:rFonts w:ascii="Arial" w:cs="Arial" w:eastAsia="Arial" w:hAnsi="Arial"/>
          <w:sz w:val="16"/>
          <w:szCs w:val="16"/>
          <w:color w:val="auto"/>
        </w:rPr>
      </w:pPr>
    </w:p>
    <w:p>
      <w:pPr>
        <w:ind w:right="60" w:firstLine="657"/>
        <w:spacing w:after="0" w:line="255" w:lineRule="auto"/>
        <w:tabs>
          <w:tab w:leader="none" w:pos="1388"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No Repricing</w:t>
      </w:r>
      <w:r>
        <w:rPr>
          <w:rFonts w:ascii="Arial" w:cs="Arial" w:eastAsia="Arial" w:hAnsi="Arial"/>
          <w:sz w:val="18"/>
          <w:szCs w:val="18"/>
          <w:color w:val="auto"/>
        </w:rPr>
        <w:t>. Notwithstanding anything in the Plan to the contrary, without stockholder approval, except as otherwise permitted under Section 12 of the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spacing w:after="0" w:line="243" w:lineRule="exact"/>
        <w:rPr>
          <w:rFonts w:ascii="Arial" w:cs="Arial" w:eastAsia="Arial" w:hAnsi="Arial"/>
          <w:sz w:val="18"/>
          <w:szCs w:val="18"/>
          <w:color w:val="auto"/>
        </w:rPr>
      </w:pPr>
    </w:p>
    <w:p>
      <w:pPr>
        <w:ind w:left="1400" w:hanging="824"/>
        <w:spacing w:after="0"/>
        <w:tabs>
          <w:tab w:leader="none" w:pos="14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ind w:right="60" w:firstLine="657"/>
        <w:spacing w:after="0" w:line="293" w:lineRule="auto"/>
        <w:tabs>
          <w:tab w:leader="none" w:pos="1388"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Award Agreements</w:t>
      </w:r>
      <w:r>
        <w:rPr>
          <w:rFonts w:ascii="Arial" w:cs="Arial" w:eastAsia="Arial" w:hAnsi="Arial"/>
          <w:sz w:val="16"/>
          <w:szCs w:val="16"/>
          <w:color w:val="auto"/>
        </w:rPr>
        <w:t>. Each Award (other than a Cash-Based Incentive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218" w:lineRule="exact"/>
        <w:rPr>
          <w:rFonts w:ascii="Arial" w:cs="Arial" w:eastAsia="Arial" w:hAnsi="Arial"/>
          <w:sz w:val="16"/>
          <w:szCs w:val="16"/>
          <w:color w:val="auto"/>
        </w:rPr>
      </w:pPr>
    </w:p>
    <w:p>
      <w:pPr>
        <w:ind w:left="1400" w:hanging="743"/>
        <w:spacing w:after="0"/>
        <w:tabs>
          <w:tab w:leader="none" w:pos="140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580" w:firstLine="645"/>
        <w:spacing w:after="0" w:line="293" w:lineRule="auto"/>
        <w:tabs>
          <w:tab w:leader="none" w:pos="1938" w:val="left"/>
        </w:tabs>
        <w:numPr>
          <w:ilvl w:val="2"/>
          <w:numId w:val="94"/>
        </w:numPr>
        <w:rPr>
          <w:rFonts w:ascii="Arial" w:cs="Arial" w:eastAsia="Arial" w:hAnsi="Arial"/>
          <w:sz w:val="16"/>
          <w:szCs w:val="16"/>
          <w:color w:val="auto"/>
        </w:rPr>
      </w:pPr>
      <w:r>
        <w:rPr>
          <w:rFonts w:ascii="Arial" w:cs="Arial" w:eastAsia="Arial" w:hAnsi="Arial"/>
          <w:sz w:val="16"/>
          <w:szCs w:val="16"/>
          <w:color w:val="auto"/>
        </w:rPr>
        <w:t xml:space="preserve">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Arial" w:cs="Arial" w:eastAsia="Arial" w:hAnsi="Arial"/>
          <w:sz w:val="16"/>
          <w:szCs w:val="16"/>
          <w:i w:val="1"/>
          <w:iCs w:val="1"/>
          <w:color w:val="auto"/>
        </w:rPr>
        <w:t>provided</w:t>
      </w:r>
      <w:r>
        <w:rPr>
          <w:rFonts w:ascii="Arial" w:cs="Arial" w:eastAsia="Arial" w:hAnsi="Arial"/>
          <w:sz w:val="16"/>
          <w:szCs w:val="16"/>
          <w:color w:val="auto"/>
        </w:rPr>
        <w:t>, that the designation of a beneficiary shall not constitute an assignment, alienation, pledge, attachment, sale, transfer or encumbrance.</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638" w:right="259" w:bottom="1440" w:gutter="0" w:footer="0" w:header="0"/>
        </w:sectPr>
      </w:pPr>
    </w:p>
    <w:bookmarkStart w:id="104" w:name="page105"/>
    <w:bookmarkEnd w:id="104"/>
    <w:p>
      <w:pPr>
        <w:ind w:left="580" w:right="100" w:firstLine="645"/>
        <w:spacing w:after="0" w:line="270" w:lineRule="auto"/>
        <w:tabs>
          <w:tab w:leader="none" w:pos="1988" w:val="left"/>
        </w:tabs>
        <w:numPr>
          <w:ilvl w:val="1"/>
          <w:numId w:val="95"/>
        </w:numPr>
        <w:rPr>
          <w:rFonts w:ascii="Arial" w:cs="Arial" w:eastAsia="Arial" w:hAnsi="Arial"/>
          <w:sz w:val="17"/>
          <w:szCs w:val="17"/>
          <w:color w:val="auto"/>
        </w:rPr>
      </w:pPr>
      <w:r>
        <w:rPr>
          <w:rFonts w:ascii="Arial" w:cs="Arial" w:eastAsia="Arial" w:hAnsi="Arial"/>
          <w:sz w:val="17"/>
          <w:szCs w:val="17"/>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Arial" w:cs="Arial" w:eastAsia="Arial" w:hAnsi="Arial"/>
          <w:sz w:val="17"/>
          <w:szCs w:val="17"/>
          <w:u w:val="single" w:color="auto"/>
          <w:color w:val="auto"/>
        </w:rPr>
        <w:t>Immediate Family Members</w:t>
      </w:r>
      <w:r>
        <w:rPr>
          <w:rFonts w:ascii="Arial" w:cs="Arial" w:eastAsia="Arial" w:hAnsi="Arial"/>
          <w:sz w:val="17"/>
          <w:szCs w:val="17"/>
          <w:color w:val="auto"/>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231" w:lineRule="exact"/>
        <w:rPr>
          <w:rFonts w:ascii="Arial" w:cs="Arial" w:eastAsia="Arial" w:hAnsi="Arial"/>
          <w:sz w:val="17"/>
          <w:szCs w:val="17"/>
          <w:color w:val="auto"/>
        </w:rPr>
      </w:pPr>
    </w:p>
    <w:p>
      <w:pPr>
        <w:ind w:left="580" w:firstLine="645"/>
        <w:spacing w:after="0" w:line="288" w:lineRule="auto"/>
        <w:tabs>
          <w:tab w:leader="none" w:pos="2038"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223" w:lineRule="exact"/>
        <w:rPr>
          <w:rFonts w:ascii="Arial" w:cs="Arial" w:eastAsia="Arial" w:hAnsi="Arial"/>
          <w:sz w:val="16"/>
          <w:szCs w:val="16"/>
          <w:color w:val="auto"/>
        </w:rPr>
      </w:pPr>
    </w:p>
    <w:p>
      <w:pPr>
        <w:ind w:right="60" w:firstLine="657"/>
        <w:spacing w:after="0" w:line="291" w:lineRule="auto"/>
        <w:tabs>
          <w:tab w:leader="none" w:pos="1388"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Dividends and Dividend Equivalents</w:t>
      </w:r>
      <w:r>
        <w:rPr>
          <w:rFonts w:ascii="Arial" w:cs="Arial" w:eastAsia="Arial" w:hAnsi="Arial"/>
          <w:sz w:val="16"/>
          <w:szCs w:val="16"/>
          <w:color w:val="auto"/>
        </w:rPr>
        <w:t>. The Committee may, in its sole discretion, provide a Participant as part of an Award with dividends, dividend equivalents, or similar payments in respect of 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Restricted Stock or other Awards. Without limiting the foregoing, unless otherwise provided in the Award Agreement,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w:t>
      </w: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638" w:right="239" w:bottom="1440" w:gutter="0" w:footer="0" w:header="0"/>
        </w:sectPr>
      </w:pPr>
    </w:p>
    <w:bookmarkStart w:id="105" w:name="page106"/>
    <w:bookmarkEnd w:id="105"/>
    <w:p>
      <w:pPr>
        <w:ind w:left="1400" w:hanging="743"/>
        <w:spacing w:after="0"/>
        <w:tabs>
          <w:tab w:leader="none" w:pos="14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580" w:right="40" w:firstLine="645"/>
        <w:spacing w:after="0" w:line="279" w:lineRule="auto"/>
        <w:tabs>
          <w:tab w:leader="none" w:pos="1938" w:val="left"/>
        </w:tabs>
        <w:numPr>
          <w:ilvl w:val="1"/>
          <w:numId w:val="97"/>
        </w:numPr>
        <w:rPr>
          <w:rFonts w:ascii="Arial" w:cs="Arial" w:eastAsia="Arial" w:hAnsi="Arial"/>
          <w:sz w:val="17"/>
          <w:szCs w:val="17"/>
          <w:color w:val="auto"/>
        </w:rPr>
      </w:pPr>
      <w:r>
        <w:rPr>
          <w:rFonts w:ascii="Arial" w:cs="Arial" w:eastAsia="Arial" w:hAnsi="Arial"/>
          <w:sz w:val="17"/>
          <w:szCs w:val="17"/>
          <w:color w:val="auto"/>
        </w:rPr>
        <w:t>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spacing w:after="0" w:line="225" w:lineRule="exact"/>
        <w:rPr>
          <w:rFonts w:ascii="Arial" w:cs="Arial" w:eastAsia="Arial" w:hAnsi="Arial"/>
          <w:sz w:val="17"/>
          <w:szCs w:val="17"/>
          <w:color w:val="auto"/>
        </w:rPr>
      </w:pPr>
    </w:p>
    <w:p>
      <w:pPr>
        <w:ind w:left="580" w:right="20" w:firstLine="645"/>
        <w:spacing w:after="0" w:line="270" w:lineRule="auto"/>
        <w:tabs>
          <w:tab w:leader="none" w:pos="1988" w:val="left"/>
        </w:tabs>
        <w:numPr>
          <w:ilvl w:val="1"/>
          <w:numId w:val="97"/>
        </w:numPr>
        <w:rPr>
          <w:rFonts w:ascii="Arial" w:cs="Arial" w:eastAsia="Arial" w:hAnsi="Arial"/>
          <w:sz w:val="17"/>
          <w:szCs w:val="17"/>
          <w:color w:val="auto"/>
        </w:rPr>
      </w:pPr>
      <w:r>
        <w:rPr>
          <w:rFonts w:ascii="Arial" w:cs="Arial" w:eastAsia="Arial" w:hAnsi="Arial"/>
          <w:sz w:val="17"/>
          <w:szCs w:val="17"/>
          <w:color w:val="auto"/>
        </w:rPr>
        <w:t>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Common Stock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w:t>
      </w:r>
    </w:p>
    <w:p>
      <w:pPr>
        <w:spacing w:after="0" w:line="235" w:lineRule="exact"/>
        <w:rPr>
          <w:rFonts w:ascii="Arial" w:cs="Arial" w:eastAsia="Arial" w:hAnsi="Arial"/>
          <w:sz w:val="17"/>
          <w:szCs w:val="17"/>
          <w:color w:val="auto"/>
        </w:rPr>
      </w:pPr>
    </w:p>
    <w:p>
      <w:pPr>
        <w:ind w:left="580" w:firstLine="645"/>
        <w:spacing w:after="0" w:line="273" w:lineRule="auto"/>
        <w:tabs>
          <w:tab w:leader="none" w:pos="2038"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Committee, subject to its having considered the applicable accounting impact of any such determination,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 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spacing w:after="0" w:line="232" w:lineRule="exact"/>
        <w:rPr>
          <w:rFonts w:ascii="Arial" w:cs="Arial" w:eastAsia="Arial" w:hAnsi="Arial"/>
          <w:sz w:val="17"/>
          <w:szCs w:val="17"/>
          <w:color w:val="auto"/>
        </w:rPr>
      </w:pPr>
    </w:p>
    <w:p>
      <w:pPr>
        <w:ind w:right="80" w:firstLine="657"/>
        <w:spacing w:after="0" w:line="276" w:lineRule="auto"/>
        <w:tabs>
          <w:tab w:leader="none" w:pos="1388"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Data Protection</w:t>
      </w:r>
      <w:r>
        <w:rPr>
          <w:rFonts w:ascii="Arial" w:cs="Arial" w:eastAsia="Arial" w:hAnsi="Arial"/>
          <w:sz w:val="17"/>
          <w:szCs w:val="17"/>
          <w:color w:val="auto"/>
        </w:rPr>
        <w:t>.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spacing w:after="0" w:line="3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638" w:right="239" w:bottom="1440" w:gutter="0" w:footer="0" w:header="0"/>
        </w:sectPr>
      </w:pPr>
    </w:p>
    <w:bookmarkStart w:id="106" w:name="page107"/>
    <w:bookmarkEnd w:id="106"/>
    <w:p>
      <w:pPr>
        <w:ind w:right="40" w:firstLine="657"/>
        <w:spacing w:after="0" w:line="268" w:lineRule="auto"/>
        <w:tabs>
          <w:tab w:leader="none" w:pos="1368"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No Claim to Awards; No Rights to Continued Employment; Waiver</w:t>
      </w:r>
      <w:r>
        <w:rPr>
          <w:rFonts w:ascii="Arial" w:cs="Arial" w:eastAsia="Arial" w:hAnsi="Arial"/>
          <w:sz w:val="17"/>
          <w:szCs w:val="17"/>
          <w:color w:val="auto"/>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spacing w:after="0" w:line="241" w:lineRule="exact"/>
        <w:rPr>
          <w:rFonts w:ascii="Arial" w:cs="Arial" w:eastAsia="Arial" w:hAnsi="Arial"/>
          <w:sz w:val="17"/>
          <w:szCs w:val="17"/>
          <w:color w:val="auto"/>
        </w:rPr>
      </w:pPr>
    </w:p>
    <w:p>
      <w:pPr>
        <w:jc w:val="both"/>
        <w:ind w:right="120" w:firstLine="657"/>
        <w:spacing w:after="0" w:line="259" w:lineRule="auto"/>
        <w:tabs>
          <w:tab w:leader="none" w:pos="139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United States of 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spacing w:after="0" w:line="240" w:lineRule="exact"/>
        <w:rPr>
          <w:rFonts w:ascii="Arial" w:cs="Arial" w:eastAsia="Arial" w:hAnsi="Arial"/>
          <w:sz w:val="18"/>
          <w:szCs w:val="18"/>
          <w:color w:val="auto"/>
        </w:rPr>
      </w:pPr>
    </w:p>
    <w:p>
      <w:pPr>
        <w:ind w:firstLine="657"/>
        <w:spacing w:after="0" w:line="272" w:lineRule="auto"/>
        <w:tabs>
          <w:tab w:leader="none" w:pos="1398"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Designation and Change of Beneficiary</w:t>
      </w:r>
      <w:r>
        <w:rPr>
          <w:rFonts w:ascii="Arial" w:cs="Arial" w:eastAsia="Arial" w:hAnsi="Arial"/>
          <w:sz w:val="17"/>
          <w:szCs w:val="17"/>
          <w:color w:val="auto"/>
        </w:rPr>
        <w:t xml:space="preserve">. Each Participant may file with the Committee a written designation of one or more Persons as the beneficiary or beneficiaries, as applicable,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spacing w:after="0" w:line="231" w:lineRule="exact"/>
        <w:rPr>
          <w:rFonts w:ascii="Arial" w:cs="Arial" w:eastAsia="Arial" w:hAnsi="Arial"/>
          <w:sz w:val="17"/>
          <w:szCs w:val="17"/>
          <w:color w:val="auto"/>
        </w:rPr>
      </w:pPr>
    </w:p>
    <w:p>
      <w:pPr>
        <w:ind w:right="60" w:firstLine="657"/>
        <w:spacing w:after="0" w:line="257" w:lineRule="auto"/>
        <w:tabs>
          <w:tab w:leader="none" w:pos="141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of employment, but such</w:t>
      </w:r>
    </w:p>
    <w:p>
      <w:pPr>
        <w:spacing w:after="0" w:line="3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638" w:right="239" w:bottom="1440" w:gutter="0" w:footer="0" w:header="0"/>
        </w:sectPr>
      </w:pPr>
    </w:p>
    <w:bookmarkStart w:id="107" w:name="page108"/>
    <w:bookmarkEnd w:id="107"/>
    <w:p>
      <w:pPr>
        <w:ind w:right="80"/>
        <w:spacing w:after="0" w:line="257" w:lineRule="auto"/>
        <w:rPr>
          <w:sz w:val="20"/>
          <w:szCs w:val="20"/>
          <w:color w:val="auto"/>
        </w:rPr>
      </w:pPr>
      <w:r>
        <w:rPr>
          <w:rFonts w:ascii="Arial" w:cs="Arial" w:eastAsia="Arial" w:hAnsi="Arial"/>
          <w:sz w:val="18"/>
          <w:szCs w:val="18"/>
          <w:color w:val="auto"/>
        </w:rPr>
        <w:t>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spacing w:after="0" w:line="242" w:lineRule="exact"/>
        <w:rPr>
          <w:sz w:val="20"/>
          <w:szCs w:val="20"/>
          <w:color w:val="auto"/>
        </w:rPr>
      </w:pPr>
    </w:p>
    <w:p>
      <w:pPr>
        <w:jc w:val="both"/>
        <w:ind w:right="120" w:firstLine="657"/>
        <w:spacing w:after="0" w:line="264" w:lineRule="auto"/>
        <w:tabs>
          <w:tab w:leader="none" w:pos="141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spacing w:after="0" w:line="235" w:lineRule="exact"/>
        <w:rPr>
          <w:rFonts w:ascii="Arial" w:cs="Arial" w:eastAsia="Arial" w:hAnsi="Arial"/>
          <w:sz w:val="18"/>
          <w:szCs w:val="18"/>
          <w:color w:val="auto"/>
        </w:rPr>
      </w:pPr>
    </w:p>
    <w:p>
      <w:pPr>
        <w:ind w:left="1400" w:hanging="743"/>
        <w:spacing w:after="0"/>
        <w:tabs>
          <w:tab w:leader="none" w:pos="14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580" w:firstLine="645"/>
        <w:spacing w:after="0" w:line="285" w:lineRule="auto"/>
        <w:tabs>
          <w:tab w:leader="none" w:pos="1938"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any member of the Company Group issued under the Plan shall be subject to such stop-transfer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9 of the Plan, the Committee may cause a legend or legends to be put on certificates representing shares of Common Stock or other securities of any member of the Company Group issued under the Plan to make appropriate reference to such restrictions or may cause such Common Stock or other securities of any member of the Company Group issued under the Plan in book-entry form to be held subject to the Company’s instructions or subject to appropriate stop-transfer orders. Notwithstanding any provision in the Plan to the contrary, the Committee reserves the right to, at any time,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611" w:right="239" w:bottom="1440" w:gutter="0" w:footer="0" w:header="0"/>
        </w:sectPr>
      </w:pPr>
    </w:p>
    <w:bookmarkStart w:id="108" w:name="page109"/>
    <w:bookmarkEnd w:id="108"/>
    <w:p>
      <w:pPr>
        <w:ind w:left="580" w:firstLine="645"/>
        <w:spacing w:after="0" w:line="268" w:lineRule="auto"/>
        <w:tabs>
          <w:tab w:leader="none" w:pos="1988"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pay to the Participant an amount equal to the excess of (I) the aggregate Fair Market Value of the shares of Common Stock subject to such Award or portion thereof canceled (determined as of the applicable exercise date, or the date that the shares would have been vested or issued, as applicable); over (II) the aggregate Exercise Price or Strike Price (in the case of an Option or SAR, respectively) or any amount payable as a condition of issuance of shares of Common Stock (in the case of any other Award). Such amount shall be delivered to the Participant as soon as practicable following the cancellation of such Award or portion thereof, or (B) in the case of Restricted Stock, Restricted Stock Units or Other Equity-Based Awards, provide the Participant with a cash payment or equity subject to deferred vesting and delivery consistent with the vesting restrictions applicable to such Restricted Stock, Restricted Stock Units or Other Equity-Based Awards, or the underlying shares in respect thereof.</w:t>
      </w:r>
    </w:p>
    <w:p>
      <w:pPr>
        <w:spacing w:after="0" w:line="241" w:lineRule="exact"/>
        <w:rPr>
          <w:rFonts w:ascii="Arial" w:cs="Arial" w:eastAsia="Arial" w:hAnsi="Arial"/>
          <w:sz w:val="17"/>
          <w:szCs w:val="17"/>
          <w:color w:val="auto"/>
        </w:rPr>
      </w:pPr>
    </w:p>
    <w:p>
      <w:pPr>
        <w:ind w:right="60" w:firstLine="657"/>
        <w:spacing w:after="0" w:line="255" w:lineRule="auto"/>
        <w:tabs>
          <w:tab w:leader="none" w:pos="141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Section 83(b) Elections Without Consent of Company</w:t>
      </w:r>
      <w:r>
        <w:rPr>
          <w:rFonts w:ascii="Arial" w:cs="Arial" w:eastAsia="Arial" w:hAnsi="Arial"/>
          <w:sz w:val="18"/>
          <w:szCs w:val="18"/>
          <w:color w:val="auto"/>
        </w:rPr>
        <w:t>. No election under Section 83(b) of the Code or under a similar provision of law may be made unless expressly permitted by the terms of the applicable Award Agreement or by action of the Company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spacing w:after="0" w:line="247" w:lineRule="exact"/>
        <w:rPr>
          <w:rFonts w:ascii="Arial" w:cs="Arial" w:eastAsia="Arial" w:hAnsi="Arial"/>
          <w:sz w:val="18"/>
          <w:szCs w:val="18"/>
          <w:color w:val="auto"/>
        </w:rPr>
      </w:pPr>
    </w:p>
    <w:p>
      <w:pPr>
        <w:ind w:firstLine="657"/>
        <w:spacing w:after="0" w:line="255" w:lineRule="auto"/>
        <w:tabs>
          <w:tab w:leader="none" w:pos="139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Payments to Persons Other Than Participants</w:t>
      </w:r>
      <w:r>
        <w:rPr>
          <w:rFonts w:ascii="Arial" w:cs="Arial" w:eastAsia="Arial" w:hAnsi="Arial"/>
          <w:sz w:val="18"/>
          <w:szCs w:val="18"/>
          <w:color w:val="auto"/>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247" w:lineRule="exact"/>
        <w:rPr>
          <w:rFonts w:ascii="Arial" w:cs="Arial" w:eastAsia="Arial" w:hAnsi="Arial"/>
          <w:sz w:val="18"/>
          <w:szCs w:val="18"/>
          <w:color w:val="auto"/>
        </w:rPr>
      </w:pPr>
    </w:p>
    <w:p>
      <w:pPr>
        <w:ind w:right="100" w:firstLine="657"/>
        <w:spacing w:after="0" w:line="259" w:lineRule="auto"/>
        <w:tabs>
          <w:tab w:leader="none" w:pos="139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equity-based awards otherwise than under the Plan, and such arrangements may be either applicable generally or only in specific cases.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20" w:top="638" w:right="259" w:bottom="1440" w:gutter="0" w:footer="0" w:header="0"/>
        </w:sectPr>
      </w:pPr>
    </w:p>
    <w:bookmarkStart w:id="109" w:name="page110"/>
    <w:bookmarkEnd w:id="109"/>
    <w:p>
      <w:pPr>
        <w:ind w:right="120" w:firstLine="657"/>
        <w:spacing w:after="0" w:line="291" w:lineRule="auto"/>
        <w:tabs>
          <w:tab w:leader="none" w:pos="1398"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No Trust or Fund Created</w:t>
      </w:r>
      <w:r>
        <w:rPr>
          <w:rFonts w:ascii="Arial" w:cs="Arial" w:eastAsia="Arial" w:hAnsi="Arial"/>
          <w:sz w:val="16"/>
          <w:szCs w:val="16"/>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221" w:lineRule="exact"/>
        <w:rPr>
          <w:rFonts w:ascii="Arial" w:cs="Arial" w:eastAsia="Arial" w:hAnsi="Arial"/>
          <w:sz w:val="16"/>
          <w:szCs w:val="16"/>
          <w:color w:val="auto"/>
        </w:rPr>
      </w:pPr>
    </w:p>
    <w:p>
      <w:pPr>
        <w:ind w:right="100" w:firstLine="657"/>
        <w:spacing w:after="0" w:line="259" w:lineRule="auto"/>
        <w:tabs>
          <w:tab w:leader="none" w:pos="139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pacing w:after="0" w:line="240" w:lineRule="exact"/>
        <w:rPr>
          <w:rFonts w:ascii="Arial" w:cs="Arial" w:eastAsia="Arial" w:hAnsi="Arial"/>
          <w:sz w:val="18"/>
          <w:szCs w:val="18"/>
          <w:color w:val="auto"/>
        </w:rPr>
      </w:pPr>
    </w:p>
    <w:p>
      <w:pPr>
        <w:jc w:val="both"/>
        <w:ind w:right="180" w:firstLine="657"/>
        <w:spacing w:after="0" w:line="264" w:lineRule="auto"/>
        <w:tabs>
          <w:tab w:leader="none" w:pos="139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spacing w:after="0" w:line="235" w:lineRule="exact"/>
        <w:rPr>
          <w:rFonts w:ascii="Arial" w:cs="Arial" w:eastAsia="Arial" w:hAnsi="Arial"/>
          <w:sz w:val="18"/>
          <w:szCs w:val="18"/>
          <w:color w:val="auto"/>
        </w:rPr>
      </w:pPr>
    </w:p>
    <w:p>
      <w:pPr>
        <w:ind w:firstLine="657"/>
        <w:spacing w:after="0" w:line="302" w:lineRule="auto"/>
        <w:tabs>
          <w:tab w:leader="none" w:pos="142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208" w:lineRule="exact"/>
        <w:rPr>
          <w:rFonts w:ascii="Arial" w:cs="Arial" w:eastAsia="Arial" w:hAnsi="Arial"/>
          <w:sz w:val="16"/>
          <w:szCs w:val="16"/>
          <w:color w:val="auto"/>
        </w:rPr>
      </w:pPr>
    </w:p>
    <w:p>
      <w:pPr>
        <w:ind w:right="100" w:firstLine="657"/>
        <w:spacing w:after="0" w:line="276" w:lineRule="auto"/>
        <w:tabs>
          <w:tab w:leader="none" w:pos="137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226" w:lineRule="exact"/>
        <w:rPr>
          <w:rFonts w:ascii="Arial" w:cs="Arial" w:eastAsia="Arial" w:hAnsi="Arial"/>
          <w:sz w:val="17"/>
          <w:szCs w:val="17"/>
          <w:color w:val="auto"/>
        </w:rPr>
      </w:pPr>
    </w:p>
    <w:p>
      <w:pPr>
        <w:ind w:right="80" w:firstLine="657"/>
        <w:spacing w:after="0" w:line="264" w:lineRule="auto"/>
        <w:tabs>
          <w:tab w:leader="none" w:pos="141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3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638" w:right="239" w:bottom="1440" w:gutter="0" w:footer="0" w:header="0"/>
        </w:sectPr>
      </w:pPr>
    </w:p>
    <w:bookmarkStart w:id="110" w:name="page111"/>
    <w:bookmarkEnd w:id="110"/>
    <w:p>
      <w:pPr>
        <w:ind w:left="1400" w:hanging="743"/>
        <w:spacing w:after="0"/>
        <w:tabs>
          <w:tab w:leader="none" w:pos="14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580" w:firstLine="645"/>
        <w:spacing w:after="0" w:line="289" w:lineRule="auto"/>
        <w:tabs>
          <w:tab w:leader="none" w:pos="193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220" w:lineRule="exact"/>
        <w:rPr>
          <w:rFonts w:ascii="Arial" w:cs="Arial" w:eastAsia="Arial" w:hAnsi="Arial"/>
          <w:sz w:val="16"/>
          <w:szCs w:val="16"/>
          <w:color w:val="auto"/>
        </w:rPr>
      </w:pPr>
    </w:p>
    <w:p>
      <w:pPr>
        <w:ind w:left="580" w:right="160" w:firstLine="645"/>
        <w:spacing w:after="0" w:line="273" w:lineRule="auto"/>
        <w:tabs>
          <w:tab w:leader="none" w:pos="198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spacing w:after="0" w:line="232" w:lineRule="exact"/>
        <w:rPr>
          <w:rFonts w:ascii="Arial" w:cs="Arial" w:eastAsia="Arial" w:hAnsi="Arial"/>
          <w:sz w:val="17"/>
          <w:szCs w:val="17"/>
          <w:color w:val="auto"/>
        </w:rPr>
      </w:pPr>
    </w:p>
    <w:p>
      <w:pPr>
        <w:ind w:left="580" w:right="40" w:firstLine="645"/>
        <w:spacing w:after="0" w:line="255" w:lineRule="auto"/>
        <w:tabs>
          <w:tab w:leader="none" w:pos="203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spacing w:after="0" w:line="247" w:lineRule="exact"/>
        <w:rPr>
          <w:rFonts w:ascii="Arial" w:cs="Arial" w:eastAsia="Arial" w:hAnsi="Arial"/>
          <w:sz w:val="18"/>
          <w:szCs w:val="18"/>
          <w:color w:val="auto"/>
        </w:rPr>
      </w:pPr>
    </w:p>
    <w:p>
      <w:pPr>
        <w:ind w:right="60" w:firstLine="657"/>
        <w:spacing w:after="0" w:line="276" w:lineRule="auto"/>
        <w:tabs>
          <w:tab w:leader="none" w:pos="1398"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Clawback/Repayment</w:t>
      </w:r>
      <w:r>
        <w:rPr>
          <w:rFonts w:ascii="Arial" w:cs="Arial" w:eastAsia="Arial" w:hAnsi="Arial"/>
          <w:sz w:val="17"/>
          <w:szCs w:val="17"/>
          <w:color w:val="auto"/>
        </w:rPr>
        <w:t>. All Awards shall be subject to reduction, cancellation, forfeiture or recoupment to the extent necessary to comply with (i) any clawback, forfeiture or other similar policy adopted by the Board or the Committee and as in effect from time to time; and (ii) applicable law.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3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638" w:right="239" w:bottom="1440" w:gutter="0" w:footer="0" w:header="0"/>
        </w:sectPr>
      </w:pPr>
    </w:p>
    <w:bookmarkStart w:id="111" w:name="page112"/>
    <w:bookmarkEnd w:id="111"/>
    <w:p>
      <w:pPr>
        <w:ind w:firstLine="657"/>
        <w:spacing w:after="0" w:line="291" w:lineRule="auto"/>
        <w:tabs>
          <w:tab w:leader="none" w:pos="1384"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Right of Offset</w:t>
      </w:r>
      <w:r>
        <w:rPr>
          <w:rFonts w:ascii="Arial" w:cs="Arial" w:eastAsia="Arial" w:hAnsi="Arial"/>
          <w:sz w:val="16"/>
          <w:szCs w:val="16"/>
          <w:color w:val="auto"/>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spacing w:after="0" w:line="221" w:lineRule="exact"/>
        <w:rPr>
          <w:rFonts w:ascii="Arial" w:cs="Arial" w:eastAsia="Arial" w:hAnsi="Arial"/>
          <w:sz w:val="16"/>
          <w:szCs w:val="16"/>
          <w:color w:val="auto"/>
        </w:rPr>
      </w:pPr>
    </w:p>
    <w:p>
      <w:pPr>
        <w:ind w:right="20" w:firstLine="657"/>
        <w:spacing w:after="0" w:line="264" w:lineRule="auto"/>
        <w:tabs>
          <w:tab w:leader="none" w:pos="139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Expenses; Titles and Headings</w:t>
      </w:r>
      <w:r>
        <w:rPr>
          <w:rFonts w:ascii="Arial" w:cs="Arial" w:eastAsia="Arial" w:hAnsi="Arial"/>
          <w:sz w:val="18"/>
          <w:szCs w:val="18"/>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320"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1)"/>
      <w:numFmt w:val="lowerLetter"/>
      <w:start w:val="4"/>
    </w:lvl>
  </w:abstractNum>
  <w:abstractNum w:abstractNumId="2">
    <w:nsid w:val="520EEDD1"/>
    <w:multiLevelType w:val="hybridMultilevel"/>
    <w:lvl w:ilvl="0">
      <w:lvlJc w:val="left"/>
      <w:lvlText w:val="%1."/>
      <w:numFmt w:val="upperLetter"/>
      <w:start w:val="9"/>
    </w:lvl>
    <w:lvl w:ilvl="1">
      <w:lvlJc w:val="left"/>
      <w:lvlText w:val="%2."/>
      <w:numFmt w:val="upperLetter"/>
      <w:start w:val="1"/>
    </w:lvl>
  </w:abstractNum>
  <w:abstractNum w:abstractNumId="3">
    <w:nsid w:val="374A3FE6"/>
    <w:multiLevelType w:val="hybridMultilevel"/>
    <w:lvl w:ilvl="0">
      <w:lvlJc w:val="left"/>
      <w:lvlText w:val="%1."/>
      <w:numFmt w:val="upperLetter"/>
      <w:start w:val="4"/>
    </w:lvl>
  </w:abstractNum>
  <w:abstractNum w:abstractNumId="4">
    <w:nsid w:val="4F4EF005"/>
    <w:multiLevelType w:val="hybridMultilevel"/>
    <w:lvl w:ilvl="0">
      <w:lvlJc w:val="left"/>
      <w:lvlText w:val="%1."/>
      <w:numFmt w:val="upperLetter"/>
      <w:start w:val="1"/>
    </w:lvl>
  </w:abstractNum>
  <w:abstractNum w:abstractNumId="5">
    <w:nsid w:val="23F9C13C"/>
    <w:multiLevelType w:val="hybridMultilevel"/>
    <w:lvl w:ilvl="0">
      <w:lvlJc w:val="left"/>
      <w:lvlText w:val="%1."/>
      <w:numFmt w:val="upperLetter"/>
      <w:start w:val="2"/>
    </w:lvl>
  </w:abstractNum>
  <w:abstractNum w:abstractNumId="6">
    <w:nsid w:val="649BB77C"/>
    <w:multiLevelType w:val="hybridMultilevel"/>
    <w:lvl w:ilvl="0">
      <w:lvlJc w:val="left"/>
      <w:lvlText w:val="%1."/>
      <w:numFmt w:val="upperLetter"/>
      <w:start w:val="1"/>
    </w:lvl>
  </w:abstractNum>
  <w:abstractNum w:abstractNumId="7">
    <w:nsid w:val="275AC794"/>
    <w:multiLevelType w:val="hybridMultilevel"/>
    <w:lvl w:ilvl="0">
      <w:lvlJc w:val="left"/>
      <w:lvlText w:val="%1."/>
      <w:numFmt w:val="upperLetter"/>
      <w:start w:val="2"/>
    </w:lvl>
  </w:abstractNum>
  <w:abstractNum w:abstractNumId="8">
    <w:nsid w:val="39386575"/>
    <w:multiLevelType w:val="hybridMultilevel"/>
    <w:lvl w:ilvl="0">
      <w:lvlJc w:val="left"/>
      <w:lvlText w:val="%1."/>
      <w:numFmt w:val="upperLetter"/>
      <w:start w:val="1"/>
    </w:lvl>
  </w:abstractNum>
  <w:abstractNum w:abstractNumId="9">
    <w:nsid w:val="1CF10FD8"/>
    <w:multiLevelType w:val="hybridMultilevel"/>
    <w:lvl w:ilvl="0">
      <w:lvlJc w:val="left"/>
      <w:lvlText w:val="%1."/>
      <w:numFmt w:val="upperLetter"/>
      <w:start w:val="1"/>
    </w:lvl>
  </w:abstractNum>
  <w:abstractNum w:abstractNumId="10">
    <w:nsid w:val="180115BE"/>
    <w:multiLevelType w:val="hybridMultilevel"/>
    <w:lvl w:ilvl="0">
      <w:lvlJc w:val="left"/>
      <w:lvlText w:val="%1."/>
      <w:numFmt w:val="upperLetter"/>
      <w:start w:val="2"/>
    </w:lvl>
  </w:abstractNum>
  <w:abstractNum w:abstractNumId="11">
    <w:nsid w:val="235BA861"/>
    <w:multiLevelType w:val="hybridMultilevel"/>
    <w:lvl w:ilvl="0">
      <w:lvlJc w:val="left"/>
      <w:lvlText w:val="%1"/>
      <w:numFmt w:val="upperLetter"/>
      <w:start w:val="1"/>
    </w:lvl>
    <w:lvl w:ilvl="1">
      <w:lvlJc w:val="left"/>
      <w:lvlText w:val="%2."/>
      <w:numFmt w:val="upperLetter"/>
      <w:start w:val="1"/>
    </w:lvl>
  </w:abstractNum>
  <w:abstractNum w:abstractNumId="12">
    <w:nsid w:val="47398C89"/>
    <w:multiLevelType w:val="hybridMultilevel"/>
    <w:lvl w:ilvl="0">
      <w:lvlJc w:val="left"/>
      <w:lvlText w:val="(%1)"/>
      <w:numFmt w:val="upperLetter"/>
      <w:start w:val="4"/>
    </w:lvl>
    <w:lvl w:ilvl="1">
      <w:lvlJc w:val="left"/>
      <w:lvlText w:val="%2"/>
      <w:numFmt w:val="upperLetter"/>
      <w:start w:val="1"/>
    </w:lvl>
  </w:abstractNum>
  <w:abstractNum w:abstractNumId="13">
    <w:nsid w:val="354FE9F9"/>
    <w:multiLevelType w:val="hybridMultilevel"/>
    <w:lvl w:ilvl="0">
      <w:lvlJc w:val="left"/>
      <w:lvlText w:val="%1."/>
      <w:numFmt w:val="upperLetter"/>
      <w:start w:val="3"/>
    </w:lvl>
  </w:abstractNum>
  <w:abstractNum w:abstractNumId="14">
    <w:nsid w:val="15B5AF5C"/>
    <w:multiLevelType w:val="hybridMultilevel"/>
    <w:lvl w:ilvl="0">
      <w:lvlJc w:val="left"/>
      <w:lvlText w:val="%1."/>
      <w:numFmt w:val="upperLetter"/>
      <w:start w:val="1"/>
    </w:lvl>
    <w:lvl w:ilvl="1">
      <w:lvlJc w:val="left"/>
      <w:lvlText w:val="%2."/>
      <w:numFmt w:val="decimal"/>
      <w:start w:val="1"/>
    </w:lvl>
  </w:abstractNum>
  <w:abstractNum w:abstractNumId="15">
    <w:nsid w:val="741226BB"/>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16">
    <w:nsid w:val="D34B6A8"/>
    <w:multiLevelType w:val="hybridMultilevel"/>
    <w:lvl w:ilvl="0">
      <w:lvlJc w:val="left"/>
      <w:lvlText w:val="(%1)"/>
      <w:numFmt w:val="lowerLetter"/>
      <w:start w:val="61"/>
    </w:lvl>
    <w:lvl w:ilvl="1">
      <w:lvlJc w:val="left"/>
      <w:lvlText w:val="(%2)"/>
      <w:numFmt w:val="lowerLetter"/>
      <w:start w:val="1"/>
    </w:lvl>
  </w:abstractNum>
  <w:abstractNum w:abstractNumId="17">
    <w:nsid w:val="10233C99"/>
    <w:multiLevelType w:val="hybridMultilevel"/>
    <w:lvl w:ilvl="0">
      <w:lvlJc w:val="left"/>
      <w:lvlText w:val="%1"/>
      <w:numFmt w:val="lowerLetter"/>
      <w:start w:val="1"/>
    </w:lvl>
    <w:lvl w:ilvl="1">
      <w:lvlJc w:val="left"/>
      <w:lvlText w:val="(%2)"/>
      <w:numFmt w:val="lowerLetter"/>
      <w:start w:val="61"/>
    </w:lvl>
  </w:abstractNum>
  <w:abstractNum w:abstractNumId="18">
    <w:nsid w:val="3F6AB60F"/>
    <w:multiLevelType w:val="hybridMultilevel"/>
    <w:lvl w:ilvl="0">
      <w:lvlJc w:val="left"/>
      <w:lvlText w:val="(%1)"/>
      <w:numFmt w:val="lowerRoman"/>
      <w:start w:val="4"/>
    </w:lvl>
  </w:abstractNum>
  <w:abstractNum w:abstractNumId="19">
    <w:nsid w:val="61574095"/>
    <w:multiLevelType w:val="hybridMultilevel"/>
    <w:lvl w:ilvl="0">
      <w:lvlJc w:val="left"/>
      <w:lvlText w:val="%1."/>
      <w:numFmt w:val="decimal"/>
      <w:start w:val="6"/>
    </w:lvl>
    <w:lvl w:ilvl="1">
      <w:lvlJc w:val="left"/>
      <w:lvlText w:val="(%2)"/>
      <w:numFmt w:val="lowerRoman"/>
      <w:start w:val="1"/>
    </w:lvl>
  </w:abstractNum>
  <w:abstractNum w:abstractNumId="20">
    <w:nsid w:val="7E0C57B1"/>
    <w:multiLevelType w:val="hybridMultilevel"/>
    <w:lvl w:ilvl="0">
      <w:lvlJc w:val="left"/>
      <w:lvlText w:val="%1"/>
      <w:numFmt w:val="decimal"/>
      <w:start w:val="1"/>
    </w:lvl>
    <w:lvl w:ilvl="1">
      <w:lvlJc w:val="left"/>
      <w:lvlText w:val="(%2)"/>
      <w:numFmt w:val="lowerRoman"/>
      <w:start w:val="3"/>
    </w:lvl>
  </w:abstractNum>
  <w:abstractNum w:abstractNumId="21">
    <w:nsid w:val="77AE35EB"/>
    <w:multiLevelType w:val="hybridMultilevel"/>
    <w:lvl w:ilvl="0">
      <w:lvlJc w:val="left"/>
      <w:lvlText w:val="%1."/>
      <w:numFmt w:val="decimal"/>
      <w:start w:val="9"/>
    </w:lvl>
    <w:lvl w:ilvl="1">
      <w:lvlJc w:val="left"/>
      <w:lvlText w:val="%2"/>
      <w:numFmt w:val="lowerRoman"/>
      <w:start w:val="1"/>
    </w:lvl>
  </w:abstractNum>
  <w:abstractNum w:abstractNumId="22">
    <w:nsid w:val="579BE4F1"/>
    <w:multiLevelType w:val="hybridMultilevel"/>
    <w:lvl w:ilvl="0">
      <w:lvlJc w:val="left"/>
      <w:lvlText w:val="%1."/>
      <w:numFmt w:val="upperLetter"/>
      <w:start w:val="1"/>
    </w:lvl>
  </w:abstractNum>
  <w:abstractNum w:abstractNumId="23">
    <w:nsid w:val="310C50B3"/>
    <w:multiLevelType w:val="hybridMultilevel"/>
    <w:lvl w:ilvl="0">
      <w:lvlJc w:val="left"/>
      <w:lvlText w:val="(%1)"/>
      <w:numFmt w:val="upperLetter"/>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1"/>
    </w:lvl>
    <w:lvl w:ilvl="1">
      <w:lvlJc w:val="left"/>
      <w:lvlText w:val="(%2)"/>
      <w:numFmt w:val="decimal"/>
      <w:start w:val="3"/>
    </w:lvl>
  </w:abstractNum>
  <w:abstractNum w:abstractNumId="26">
    <w:nsid w:val="25A70BF7"/>
    <w:multiLevelType w:val="hybridMultilevel"/>
    <w:lvl w:ilvl="0">
      <w:lvlJc w:val="left"/>
      <w:lvlText w:val="(%1)"/>
      <w:numFmt w:val="decimal"/>
      <w:start w:val="5"/>
    </w:lvl>
    <w:lvl w:ilvl="1">
      <w:lvlJc w:val="left"/>
      <w:lvlText w:val="%2"/>
      <w:numFmt w:val="decimal"/>
      <w:start w:val="1"/>
    </w:lvl>
  </w:abstractNum>
  <w:abstractNum w:abstractNumId="27">
    <w:nsid w:val="1DBABF00"/>
    <w:multiLevelType w:val="hybridMultilevel"/>
    <w:lvl w:ilvl="0">
      <w:lvlJc w:val="left"/>
      <w:lvlText w:val="(%1)"/>
      <w:numFmt w:val="upperLetter"/>
      <w:start w:val="2"/>
    </w:lvl>
  </w:abstractNum>
  <w:abstractNum w:abstractNumId="28">
    <w:nsid w:val="4AD084E9"/>
    <w:multiLevelType w:val="hybridMultilevel"/>
    <w:lvl w:ilvl="0">
      <w:lvlJc w:val="left"/>
      <w:lvlText w:val="(%1)"/>
      <w:numFmt w:val="decimal"/>
      <w:start w:val="2"/>
    </w:lvl>
  </w:abstractNum>
  <w:abstractNum w:abstractNumId="29">
    <w:nsid w:val="1F48EAA1"/>
    <w:multiLevelType w:val="hybridMultilevel"/>
    <w:lvl w:ilvl="0">
      <w:lvlJc w:val="left"/>
      <w:lvlText w:val="(%1)"/>
      <w:numFmt w:val="upperLetter"/>
      <w:start w:val="1"/>
    </w:lvl>
  </w:abstractNum>
  <w:abstractNum w:abstractNumId="30">
    <w:nsid w:val="1381823A"/>
    <w:multiLevelType w:val="hybridMultilevel"/>
    <w:lvl w:ilvl="0">
      <w:lvlJc w:val="left"/>
      <w:lvlText w:val="(%1)"/>
      <w:numFmt w:val="decimal"/>
      <w:start w:val="1"/>
    </w:lvl>
  </w:abstractNum>
  <w:abstractNum w:abstractNumId="31">
    <w:nsid w:val="5DB70AE5"/>
    <w:multiLevelType w:val="hybridMultilevel"/>
    <w:lvl w:ilvl="0">
      <w:lvlJc w:val="left"/>
      <w:lvlText w:val="(%1)"/>
      <w:numFmt w:val="lowerLetter"/>
      <w:start w:val="1"/>
    </w:lvl>
  </w:abstractNum>
  <w:abstractNum w:abstractNumId="32">
    <w:nsid w:val="100F8FCA"/>
    <w:multiLevelType w:val="hybridMultilevel"/>
    <w:lvl w:ilvl="0">
      <w:lvlJc w:val="left"/>
      <w:lvlText w:val="(%1)"/>
      <w:numFmt w:val="upperLetter"/>
      <w:start w:val="1"/>
    </w:lvl>
  </w:abstractNum>
  <w:abstractNum w:abstractNumId="33">
    <w:nsid w:val="6590700B"/>
    <w:multiLevelType w:val="hybridMultilevel"/>
    <w:lvl w:ilvl="0">
      <w:lvlJc w:val="left"/>
      <w:lvlText w:val="(%1)"/>
      <w:numFmt w:val="lowerLetter"/>
      <w:start w:val="1"/>
    </w:lvl>
  </w:abstractNum>
  <w:abstractNum w:abstractNumId="34">
    <w:nsid w:val="15014ACB"/>
    <w:multiLevelType w:val="hybridMultilevel"/>
    <w:lvl w:ilvl="0">
      <w:lvlJc w:val="left"/>
      <w:lvlText w:val="(%1)"/>
      <w:numFmt w:val="upperLetter"/>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lowerLetter"/>
      <w:start w:val="1"/>
    </w:lvl>
  </w:abstractNum>
  <w:abstractNum w:abstractNumId="37">
    <w:nsid w:val="799D0247"/>
    <w:multiLevelType w:val="hybridMultilevel"/>
    <w:lvl w:ilvl="0">
      <w:lvlJc w:val="left"/>
      <w:lvlText w:val="(%1)"/>
      <w:numFmt w:val="lowerLetter"/>
      <w:start w:val="3"/>
    </w:lvl>
  </w:abstractNum>
  <w:abstractNum w:abstractNumId="38">
    <w:nsid w:val="6B94764"/>
    <w:multiLevelType w:val="hybridMultilevel"/>
    <w:lvl w:ilvl="0">
      <w:lvlJc w:val="left"/>
      <w:lvlText w:val="(%1)"/>
      <w:numFmt w:val="lowerLetter"/>
      <w:start w:val="9"/>
    </w:lvl>
  </w:abstractNum>
  <w:abstractNum w:abstractNumId="39">
    <w:nsid w:val="42C296BD"/>
    <w:multiLevelType w:val="hybridMultilevel"/>
    <w:lvl w:ilvl="0">
      <w:lvlJc w:val="left"/>
      <w:lvlText w:val="(%1)"/>
      <w:numFmt w:val="lowerLetter"/>
      <w:start w:val="1"/>
    </w:lvl>
  </w:abstractNum>
  <w:abstractNum w:abstractNumId="40">
    <w:nsid w:val="168E121F"/>
    <w:multiLevelType w:val="hybridMultilevel"/>
    <w:lvl w:ilvl="0">
      <w:lvlJc w:val="left"/>
      <w:lvlText w:val="(%1)"/>
      <w:numFmt w:val="lowerLetter"/>
      <w:start w:val="1"/>
    </w:lvl>
    <w:lvl w:ilvl="1">
      <w:lvlJc w:val="left"/>
      <w:lvlText w:val="(%2)"/>
      <w:numFmt w:val="lowerRoman"/>
      <w:start w:val="1"/>
    </w:lvl>
  </w:abstractNum>
  <w:abstractNum w:abstractNumId="41">
    <w:nsid w:val="1EBA5D23"/>
    <w:multiLevelType w:val="hybridMultilevel"/>
    <w:lvl w:ilvl="0">
      <w:lvlJc w:val="left"/>
      <w:lvlText w:val="(%1)"/>
      <w:numFmt w:val="lowerRoman"/>
      <w:start w:val="5"/>
    </w:lvl>
  </w:abstractNum>
  <w:abstractNum w:abstractNumId="42">
    <w:nsid w:val="661E3F1E"/>
    <w:multiLevelType w:val="hybridMultilevel"/>
    <w:lvl w:ilvl="0">
      <w:lvlJc w:val="left"/>
      <w:lvlText w:val="(%1)"/>
      <w:numFmt w:val="lowerLetter"/>
      <w:start w:val="1"/>
    </w:lvl>
  </w:abstractNum>
  <w:abstractNum w:abstractNumId="43">
    <w:nsid w:val="5DC79EA8"/>
    <w:multiLevelType w:val="hybridMultilevel"/>
    <w:lvl w:ilvl="0">
      <w:lvlJc w:val="left"/>
      <w:lvlText w:val="(%1)"/>
      <w:numFmt w:val="lowerLetter"/>
      <w:start w:val="1"/>
    </w:lvl>
    <w:lvl w:ilvl="1">
      <w:lvlJc w:val="left"/>
      <w:lvlText w:val="(%2)"/>
      <w:numFmt w:val="lowerRoman"/>
      <w:start w:val="1"/>
    </w:lvl>
  </w:abstractNum>
  <w:abstractNum w:abstractNumId="44">
    <w:nsid w:val="540A471C"/>
    <w:multiLevelType w:val="hybridMultilevel"/>
    <w:lvl w:ilvl="0">
      <w:lvlJc w:val="left"/>
      <w:lvlText w:val="(%1)"/>
      <w:numFmt w:val="lowerLetter"/>
      <w:start w:val="1"/>
    </w:lvl>
  </w:abstractNum>
  <w:abstractNum w:abstractNumId="45">
    <w:nsid w:val="7BD3EE7B"/>
    <w:multiLevelType w:val="hybridMultilevel"/>
    <w:lvl w:ilvl="0">
      <w:lvlJc w:val="left"/>
      <w:lvlText w:val="(%1)"/>
      <w:numFmt w:val="lowerLetter"/>
      <w:start w:val="2"/>
    </w:lvl>
  </w:abstractNum>
  <w:abstractNum w:abstractNumId="46">
    <w:nsid w:val="51D9C564"/>
    <w:multiLevelType w:val="hybridMultilevel"/>
    <w:lvl w:ilvl="0">
      <w:lvlJc w:val="left"/>
      <w:lvlText w:val="(%1)"/>
      <w:numFmt w:val="lowerRoman"/>
      <w:start w:val="1"/>
    </w:lvl>
  </w:abstractNum>
  <w:abstractNum w:abstractNumId="47">
    <w:nsid w:val="613EFDC5"/>
    <w:multiLevelType w:val="hybridMultilevel"/>
    <w:lvl w:ilvl="0">
      <w:lvlJc w:val="left"/>
      <w:lvlText w:val="(%1)"/>
      <w:numFmt w:val="lowerRoman"/>
      <w:start w:val="2"/>
    </w:lvl>
  </w:abstractNum>
  <w:abstractNum w:abstractNumId="48">
    <w:nsid w:val="BF72B14"/>
    <w:multiLevelType w:val="hybridMultilevel"/>
    <w:lvl w:ilvl="0">
      <w:lvlJc w:val="left"/>
      <w:lvlText w:val="(%1)"/>
      <w:numFmt w:val="lowerLetter"/>
      <w:start w:val="1"/>
    </w:lvl>
  </w:abstractNum>
  <w:abstractNum w:abstractNumId="49">
    <w:nsid w:val="11447B73"/>
    <w:multiLevelType w:val="hybridMultilevel"/>
    <w:lvl w:ilvl="0">
      <w:lvlJc w:val="left"/>
      <w:lvlText w:val="(%1)"/>
      <w:numFmt w:val="lowerLetter"/>
      <w:start w:val="1"/>
    </w:lvl>
  </w:abstractNum>
  <w:abstractNum w:abstractNumId="50">
    <w:nsid w:val="42963E5A"/>
    <w:multiLevelType w:val="hybridMultilevel"/>
    <w:lvl w:ilvl="0">
      <w:lvlJc w:val="left"/>
      <w:lvlText w:val="(%1)"/>
      <w:numFmt w:val="lowerLetter"/>
      <w:start w:val="3"/>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1."/>
      <w:numFmt w:val="decimal"/>
      <w:start w:val="2"/>
    </w:lvl>
  </w:abstractNum>
  <w:abstractNum w:abstractNumId="54">
    <w:nsid w:val="3B0FD379"/>
    <w:multiLevelType w:val="hybridMultilevel"/>
    <w:lvl w:ilvl="0">
      <w:lvlJc w:val="left"/>
      <w:lvlText w:val="%1"/>
      <w:numFmt w:val="decimal"/>
      <w:start w:val="1"/>
    </w:lvl>
    <w:lvl w:ilvl="1">
      <w:lvlJc w:val="left"/>
      <w:lvlText w:val="(%2)"/>
      <w:numFmt w:val="lowerLetter"/>
      <w:start w:val="26"/>
    </w:lvl>
  </w:abstractNum>
  <w:abstractNum w:abstractNumId="55">
    <w:nsid w:val="68EB2F63"/>
    <w:multiLevelType w:val="hybridMultilevel"/>
    <w:lvl w:ilvl="0">
      <w:lvlJc w:val="left"/>
      <w:lvlText w:val="%1."/>
      <w:numFmt w:val="decimal"/>
      <w:start w:val="3"/>
    </w:lvl>
    <w:lvl w:ilvl="1">
      <w:lvlJc w:val="left"/>
      <w:lvlText w:val="%2"/>
      <w:numFmt w:val="lowerLetter"/>
      <w:start w:val="1"/>
    </w:lvl>
  </w:abstractNum>
  <w:abstractNum w:abstractNumId="56">
    <w:nsid w:val="4962813B"/>
    <w:multiLevelType w:val="hybridMultilevel"/>
    <w:lvl w:ilvl="0">
      <w:lvlJc w:val="left"/>
      <w:lvlText w:val="%1."/>
      <w:numFmt w:val="decimal"/>
      <w:start w:val="4"/>
    </w:lvl>
  </w:abstractNum>
  <w:abstractNum w:abstractNumId="57">
    <w:nsid w:val="60B6DF70"/>
    <w:multiLevelType w:val="hybridMultilevel"/>
    <w:lvl w:ilvl="0">
      <w:lvlJc w:val="left"/>
      <w:lvlText w:val="%1."/>
      <w:numFmt w:val="decimal"/>
      <w:start w:val="5"/>
    </w:lvl>
  </w:abstractNum>
  <w:abstractNum w:abstractNumId="58">
    <w:nsid w:val="6A5EE64"/>
    <w:multiLevelType w:val="hybridMultilevel"/>
    <w:lvl w:ilvl="0">
      <w:lvlJc w:val="left"/>
      <w:lvlText w:val="%1."/>
      <w:numFmt w:val="decimal"/>
      <w:start w:val="6"/>
    </w:lvl>
  </w:abstractNum>
  <w:abstractNum w:abstractNumId="59">
    <w:nsid w:val="14330624"/>
    <w:multiLevelType w:val="hybridMultilevel"/>
    <w:lvl w:ilvl="0">
      <w:lvlJc w:val="left"/>
      <w:lvlText w:val="%1."/>
      <w:numFmt w:val="decimal"/>
      <w:start w:val="1"/>
    </w:lvl>
    <w:lvl w:ilvl="1">
      <w:lvlJc w:val="left"/>
      <w:lvlText w:val="%2."/>
      <w:numFmt w:val="lowerLetter"/>
      <w:start w:val="1"/>
    </w:lvl>
  </w:abstractNum>
  <w:abstractNum w:abstractNumId="60">
    <w:nsid w:val="7FFFCA11"/>
    <w:multiLevelType w:val="hybridMultilevel"/>
    <w:lvl w:ilvl="0">
      <w:lvlJc w:val="left"/>
      <w:lvlText w:val="%1"/>
      <w:numFmt w:val="decimal"/>
      <w:start w:val="1"/>
    </w:lvl>
    <w:lvl w:ilvl="1">
      <w:lvlJc w:val="left"/>
      <w:lvlText w:val="%2."/>
      <w:numFmt w:val="lowerLetter"/>
      <w:start w:val="2"/>
    </w:lvl>
  </w:abstractNum>
  <w:abstractNum w:abstractNumId="61">
    <w:nsid w:val="1A27709E"/>
    <w:multiLevelType w:val="hybridMultilevel"/>
    <w:lvl w:ilvl="0">
      <w:lvlJc w:val="left"/>
      <w:lvlText w:val="%1."/>
      <w:numFmt w:val="decimal"/>
      <w:start w:val="3"/>
    </w:lvl>
    <w:lvl w:ilvl="1">
      <w:lvlJc w:val="left"/>
      <w:lvlText w:val="%2."/>
      <w:numFmt w:val="lowerLetter"/>
      <w:start w:val="1"/>
    </w:lvl>
  </w:abstractNum>
  <w:abstractNum w:abstractNumId="62">
    <w:nsid w:val="71EA1109"/>
    <w:multiLevelType w:val="hybridMultilevel"/>
    <w:lvl w:ilvl="0">
      <w:lvlJc w:val="left"/>
      <w:lvlText w:val="%1"/>
      <w:numFmt w:val="decimal"/>
      <w:start w:val="1"/>
    </w:lvl>
    <w:lvl w:ilvl="1">
      <w:lvlJc w:val="left"/>
      <w:lvlText w:val="%2."/>
      <w:numFmt w:val="lowerLetter"/>
      <w:start w:val="5"/>
    </w:lvl>
  </w:abstractNum>
  <w:abstractNum w:abstractNumId="63">
    <w:nsid w:val="100F59DC"/>
    <w:multiLevelType w:val="hybridMultilevel"/>
    <w:lvl w:ilvl="0">
      <w:lvlJc w:val="left"/>
      <w:lvlText w:val="%1."/>
      <w:numFmt w:val="decimal"/>
      <w:start w:val="4"/>
    </w:lvl>
    <w:lvl w:ilvl="1">
      <w:lvlJc w:val="left"/>
      <w:lvlText w:val="%2"/>
      <w:numFmt w:val="lowerLetter"/>
      <w:start w:val="1"/>
    </w:lvl>
  </w:abstractNum>
  <w:abstractNum w:abstractNumId="64">
    <w:nsid w:val="7FB7E0AA"/>
    <w:multiLevelType w:val="hybridMultilevel"/>
    <w:lvl w:ilvl="0">
      <w:lvlJc w:val="left"/>
      <w:lvlText w:val="%1."/>
      <w:numFmt w:val="decimal"/>
      <w:start w:val="12"/>
    </w:lvl>
  </w:abstractNum>
  <w:abstractNum w:abstractNumId="65">
    <w:nsid w:val="6EB5BD4"/>
    <w:multiLevelType w:val="hybridMultilevel"/>
    <w:lvl w:ilvl="0">
      <w:lvlJc w:val="left"/>
      <w:lvlText w:val="%1."/>
      <w:numFmt w:val="decimal"/>
      <w:start w:val="16"/>
    </w:lvl>
    <w:lvl w:ilvl="1">
      <w:lvlJc w:val="left"/>
      <w:lvlText w:val="%2."/>
      <w:numFmt w:val="lowerLetter"/>
      <w:start w:val="1"/>
    </w:lvl>
    <w:lvl w:ilvl="2">
      <w:lvlJc w:val="left"/>
      <w:lvlText w:val="(%3)"/>
      <w:numFmt w:val="upperLetter"/>
      <w:start w:val="1"/>
    </w:lvl>
  </w:abstractNum>
  <w:abstractNum w:abstractNumId="66">
    <w:nsid w:val="6F6DD9AC"/>
    <w:multiLevelType w:val="hybridMultilevel"/>
    <w:lvl w:ilvl="0">
      <w:lvlJc w:val="left"/>
      <w:lvlText w:val="%1."/>
      <w:numFmt w:val="decimal"/>
      <w:start w:val="1"/>
    </w:lvl>
    <w:lvl w:ilvl="1">
      <w:lvlJc w:val="left"/>
      <w:lvlText w:val="(%2)"/>
      <w:numFmt w:val="lowerLetter"/>
      <w:start w:val="1"/>
    </w:lvl>
  </w:abstractNum>
  <w:abstractNum w:abstractNumId="67">
    <w:nsid w:val="94211F2"/>
    <w:multiLevelType w:val="hybridMultilevel"/>
    <w:lvl w:ilvl="0">
      <w:lvlJc w:val="left"/>
      <w:lvlText w:val="(%1)"/>
      <w:numFmt w:val="lowerRoman"/>
      <w:start w:val="1"/>
    </w:lvl>
    <w:lvl w:ilvl="1">
      <w:lvlJc w:val="left"/>
      <w:lvlText w:val="(%2)"/>
      <w:numFmt w:val="lowerRoman"/>
      <w:start w:val="1"/>
    </w:lvl>
  </w:abstractNum>
  <w:abstractNum w:abstractNumId="68">
    <w:nsid w:val="885E1B"/>
    <w:multiLevelType w:val="hybridMultilevel"/>
    <w:lvl w:ilvl="0">
      <w:lvlJc w:val="left"/>
      <w:lvlText w:val="(%1)"/>
      <w:numFmt w:val="lowerLetter"/>
      <w:start w:val="10"/>
    </w:lvl>
  </w:abstractNum>
  <w:abstractNum w:abstractNumId="69">
    <w:nsid w:val="76272110"/>
    <w:multiLevelType w:val="hybridMultilevel"/>
    <w:lvl w:ilvl="0">
      <w:lvlJc w:val="left"/>
      <w:lvlText w:val="(%1)"/>
      <w:numFmt w:val="lowerLetter"/>
      <w:start w:val="20"/>
    </w:lvl>
  </w:abstractNum>
  <w:abstractNum w:abstractNumId="70">
    <w:nsid w:val="4C04A8AF"/>
    <w:multiLevelType w:val="hybridMultilevel"/>
    <w:lvl w:ilvl="0">
      <w:lvlJc w:val="left"/>
      <w:lvlText w:val="(%1)"/>
      <w:numFmt w:val="lowerLetter"/>
      <w:start w:val="27"/>
    </w:lvl>
  </w:abstractNum>
  <w:abstractNum w:abstractNumId="71">
    <w:nsid w:val="1716703B"/>
    <w:multiLevelType w:val="hybridMultilevel"/>
    <w:lvl w:ilvl="0">
      <w:lvlJc w:val="left"/>
      <w:lvlText w:val="(%1)"/>
      <w:numFmt w:val="lowerLetter"/>
      <w:start w:val="32"/>
    </w:lvl>
  </w:abstractNum>
  <w:abstractNum w:abstractNumId="72">
    <w:nsid w:val="14E17E33"/>
    <w:multiLevelType w:val="hybridMultilevel"/>
    <w:lvl w:ilvl="0">
      <w:lvlJc w:val="left"/>
      <w:lvlText w:val="%1"/>
      <w:numFmt w:val="decimal"/>
      <w:start w:val="1"/>
    </w:lvl>
    <w:lvl w:ilvl="1">
      <w:lvlJc w:val="left"/>
      <w:lvlText w:val="(%2)"/>
      <w:numFmt w:val="lowerLetter"/>
      <w:start w:val="44"/>
    </w:lvl>
    <w:lvl w:ilvl="2">
      <w:lvlJc w:val="left"/>
      <w:lvlText w:val="(%3)"/>
      <w:numFmt w:val="lowerRoman"/>
      <w:start w:val="1"/>
    </w:lvl>
  </w:abstractNum>
  <w:abstractNum w:abstractNumId="73">
    <w:nsid w:val="3222E7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4">
    <w:nsid w:val="74DE0EE3"/>
    <w:multiLevelType w:val="hybridMultilevel"/>
    <w:lvl w:ilvl="0">
      <w:lvlJc w:val="left"/>
      <w:lvlText w:val="%1"/>
      <w:numFmt w:val="lowerRoman"/>
      <w:start w:val="1"/>
    </w:lvl>
    <w:lvl w:ilvl="1">
      <w:lvlJc w:val="left"/>
      <w:lvlText w:val="(%2)"/>
      <w:numFmt w:val="lowerLetter"/>
      <w:start w:val="2"/>
    </w:lvl>
  </w:abstractNum>
  <w:abstractNum w:abstractNumId="75">
    <w:nsid w:val="68EBC550"/>
    <w:multiLevelType w:val="hybridMultilevel"/>
    <w:lvl w:ilvl="0">
      <w:lvlJc w:val="left"/>
      <w:lvlText w:val="(%1)"/>
      <w:numFmt w:val="lowerRoman"/>
      <w:start w:val="7"/>
    </w:lvl>
    <w:lvl w:ilvl="1">
      <w:lvlJc w:val="left"/>
      <w:lvlText w:val="(%2)"/>
      <w:numFmt w:val="lowerLetter"/>
      <w:start w:val="3"/>
    </w:lvl>
  </w:abstractNum>
  <w:abstractNum w:abstractNumId="76">
    <w:nsid w:val="2DF6D648"/>
    <w:multiLevelType w:val="hybridMultilevel"/>
    <w:lvl w:ilvl="0">
      <w:lvlJc w:val="left"/>
      <w:lvlText w:val="%1"/>
      <w:numFmt w:val="decimal"/>
      <w:start w:val="1"/>
    </w:lvl>
    <w:lvl w:ilvl="1">
      <w:lvlJc w:val="left"/>
      <w:lvlText w:val="(%2)"/>
      <w:numFmt w:val="lowerLetter"/>
      <w:start w:val="6"/>
    </w:lvl>
  </w:abstractNum>
  <w:abstractNum w:abstractNumId="77">
    <w:nsid w:val="46B7D447"/>
    <w:multiLevelType w:val="hybridMultilevel"/>
    <w:lvl w:ilvl="0">
      <w:lvlJc w:val="left"/>
      <w:lvlText w:val="%1."/>
      <w:numFmt w:val="decimal"/>
      <w:start w:val="5"/>
    </w:lvl>
    <w:lvl w:ilvl="1">
      <w:lvlJc w:val="left"/>
      <w:lvlText w:val="(%2)"/>
      <w:numFmt w:val="lowerLetter"/>
      <w:start w:val="1"/>
    </w:lvl>
  </w:abstractNum>
  <w:abstractNum w:abstractNumId="78">
    <w:nsid w:val="4A2AC315"/>
    <w:multiLevelType w:val="hybridMultilevel"/>
    <w:lvl w:ilvl="0">
      <w:lvlJc w:val="left"/>
      <w:lvlText w:val="%1"/>
      <w:numFmt w:val="decimal"/>
      <w:start w:val="1"/>
    </w:lvl>
    <w:lvl w:ilvl="1">
      <w:lvlJc w:val="left"/>
      <w:lvlText w:val="(%2)"/>
      <w:numFmt w:val="lowerLetter"/>
      <w:start w:val="3"/>
    </w:lvl>
  </w:abstractNum>
  <w:abstractNum w:abstractNumId="79">
    <w:nsid w:val="39EE015C"/>
    <w:multiLevelType w:val="hybridMultilevel"/>
    <w:lvl w:ilvl="0">
      <w:lvlJc w:val="left"/>
      <w:lvlText w:val="%1."/>
      <w:numFmt w:val="decimal"/>
      <w:start w:val="6"/>
    </w:lvl>
    <w:lvl w:ilvl="1">
      <w:lvlJc w:val="left"/>
      <w:lvlText w:val="(%2)"/>
      <w:numFmt w:val="lowerLetter"/>
      <w:start w:val="1"/>
    </w:lvl>
  </w:abstractNum>
  <w:abstractNum w:abstractNumId="80">
    <w:nsid w:val="57FC4FBB"/>
    <w:multiLevelType w:val="hybridMultilevel"/>
    <w:lvl w:ilvl="0">
      <w:lvlJc w:val="left"/>
      <w:lvlText w:val="(%1)"/>
      <w:numFmt w:val="lowerLetter"/>
      <w:start w:val="2"/>
    </w:lvl>
    <w:lvl w:ilvl="1">
      <w:lvlJc w:val="left"/>
      <w:lvlText w:val="(%2)"/>
      <w:numFmt w:val="lowerRoman"/>
      <w:start w:val="1"/>
    </w:lvl>
  </w:abstractNum>
  <w:abstractNum w:abstractNumId="81">
    <w:nsid w:val="CC1016F"/>
    <w:multiLevelType w:val="hybridMultilevel"/>
    <w:lvl w:ilvl="0">
      <w:lvlJc w:val="left"/>
      <w:lvlText w:val="%1"/>
      <w:numFmt w:val="decimal"/>
      <w:start w:val="1"/>
    </w:lvl>
    <w:lvl w:ilvl="1">
      <w:lvlJc w:val="left"/>
      <w:lvlText w:val="(%2)"/>
      <w:numFmt w:val="lowerLetter"/>
      <w:start w:val="5"/>
    </w:lvl>
  </w:abstractNum>
  <w:abstractNum w:abstractNumId="82">
    <w:nsid w:val="43F18422"/>
    <w:multiLevelType w:val="hybridMultilevel"/>
    <w:lvl w:ilvl="0">
      <w:lvlJc w:val="left"/>
      <w:lvlText w:val="%1."/>
      <w:numFmt w:val="decimal"/>
      <w:start w:val="8"/>
    </w:lvl>
    <w:lvl w:ilvl="1">
      <w:lvlJc w:val="left"/>
      <w:lvlText w:val="(%2)"/>
      <w:numFmt w:val="lowerLetter"/>
      <w:start w:val="1"/>
    </w:lvl>
  </w:abstractNum>
  <w:abstractNum w:abstractNumId="83">
    <w:nsid w:val="60EF011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4">
    <w:nsid w:val="26F324B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5">
    <w:nsid w:val="7F01579B"/>
    <w:multiLevelType w:val="hybridMultilevel"/>
    <w:lvl w:ilvl="0">
      <w:lvlJc w:val="left"/>
      <w:lvlText w:val="(%1)"/>
      <w:numFmt w:val="lowerLetter"/>
      <w:start w:val="3"/>
    </w:lvl>
    <w:lvl w:ilvl="1">
      <w:lvlJc w:val="left"/>
      <w:lvlText w:val="(%2)"/>
      <w:numFmt w:val="lowerRoman"/>
      <w:start w:val="1"/>
    </w:lvl>
  </w:abstractNum>
  <w:abstractNum w:abstractNumId="86">
    <w:nsid w:val="49DA307D"/>
    <w:multiLevelType w:val="hybridMultilevel"/>
    <w:lvl w:ilvl="0">
      <w:lvlJc w:val="left"/>
      <w:lvlText w:val="(%1)"/>
      <w:numFmt w:val="lowerLetter"/>
      <w:start w:val="5"/>
    </w:lvl>
  </w:abstractNum>
  <w:abstractNum w:abstractNumId="87">
    <w:nsid w:val="7055A5F5"/>
    <w:multiLevelType w:val="hybridMultilevel"/>
    <w:lvl w:ilvl="0">
      <w:lvlJc w:val="left"/>
      <w:lvlText w:val="%1."/>
      <w:numFmt w:val="decimal"/>
      <w:start w:val="10"/>
    </w:lvl>
    <w:lvl w:ilvl="1">
      <w:lvlJc w:val="left"/>
      <w:lvlText w:val="(%2)"/>
      <w:numFmt w:val="lowerLetter"/>
      <w:start w:val="1"/>
    </w:lvl>
  </w:abstractNum>
  <w:abstractNum w:abstractNumId="88">
    <w:nsid w:val="5FB8370B"/>
    <w:multiLevelType w:val="hybridMultilevel"/>
    <w:lvl w:ilvl="0">
      <w:lvlJc w:val="left"/>
      <w:lvlText w:val="(%1)"/>
      <w:numFmt w:val="lowerLetter"/>
      <w:start w:val="2"/>
    </w:lvl>
    <w:lvl w:ilvl="1">
      <w:lvlJc w:val="left"/>
      <w:lvlText w:val="(%2)"/>
      <w:numFmt w:val="lowerRoman"/>
      <w:start w:val="1"/>
    </w:lvl>
  </w:abstractNum>
  <w:abstractNum w:abstractNumId="89">
    <w:nsid w:val="50801EE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90">
    <w:nsid w:val="488AC1A"/>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4"/>
    </w:lvl>
  </w:abstractNum>
  <w:abstractNum w:abstractNumId="91">
    <w:nsid w:val="5FB801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2">
    <w:nsid w:val="6AA78F7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3">
    <w:nsid w:val="7672BD23"/>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94">
    <w:nsid w:val="6FC75AF8"/>
    <w:multiLevelType w:val="hybridMultilevel"/>
    <w:lvl w:ilvl="0">
      <w:lvlJc w:val="left"/>
      <w:lvlText w:val="%1"/>
      <w:numFmt w:val="lowerLetter"/>
      <w:start w:val="1"/>
    </w:lvl>
    <w:lvl w:ilvl="1">
      <w:lvlJc w:val="left"/>
      <w:lvlText w:val="(%2)"/>
      <w:numFmt w:val="lowerRoman"/>
      <w:start w:val="2"/>
    </w:lvl>
  </w:abstractNum>
  <w:abstractNum w:abstractNumId="95">
    <w:nsid w:val="6A5F7029"/>
    <w:multiLevelType w:val="hybridMultilevel"/>
    <w:lvl w:ilvl="0">
      <w:lvlJc w:val="left"/>
      <w:lvlText w:val="(%1)"/>
      <w:numFmt w:val="lowerLetter"/>
      <w:start w:val="3"/>
    </w:lvl>
    <w:lvl w:ilvl="1">
      <w:lvlJc w:val="left"/>
      <w:lvlText w:val="%2"/>
      <w:numFmt w:val="lowerRoman"/>
      <w:start w:val="1"/>
    </w:lvl>
  </w:abstractNum>
  <w:abstractNum w:abstractNumId="96">
    <w:nsid w:val="7D5E18F8"/>
    <w:multiLevelType w:val="hybridMultilevel"/>
    <w:lvl w:ilvl="0">
      <w:lvlJc w:val="left"/>
      <w:lvlText w:val="(%1)"/>
      <w:numFmt w:val="lowerLetter"/>
      <w:start w:val="4"/>
    </w:lvl>
    <w:lvl w:ilvl="1">
      <w:lvlJc w:val="left"/>
      <w:lvlText w:val="(%2)"/>
      <w:numFmt w:val="lowerRoman"/>
      <w:start w:val="1"/>
    </w:lvl>
  </w:abstractNum>
  <w:abstractNum w:abstractNumId="97">
    <w:nsid w:val="5F3534A4"/>
    <w:multiLevelType w:val="hybridMultilevel"/>
    <w:lvl w:ilvl="0">
      <w:lvlJc w:val="left"/>
      <w:lvlText w:val="(%1)"/>
      <w:numFmt w:val="lowerLetter"/>
      <w:start w:val="6"/>
    </w:lvl>
  </w:abstractNum>
  <w:abstractNum w:abstractNumId="98">
    <w:nsid w:val="73A1821B"/>
    <w:multiLevelType w:val="hybridMultilevel"/>
    <w:lvl w:ilvl="0">
      <w:lvlJc w:val="left"/>
      <w:lvlText w:val="(%1)"/>
      <w:numFmt w:val="lowerLetter"/>
      <w:start w:val="10"/>
    </w:lvl>
    <w:lvl w:ilvl="1">
      <w:lvlJc w:val="left"/>
      <w:lvlText w:val="(%2)"/>
      <w:numFmt w:val="lowerLetter"/>
      <w:start w:val="9"/>
    </w:lvl>
  </w:abstractNum>
  <w:abstractNum w:abstractNumId="99">
    <w:nsid w:val="7DE67713"/>
    <w:multiLevelType w:val="hybridMultilevel"/>
    <w:lvl w:ilvl="0">
      <w:lvlJc w:val="left"/>
      <w:lvlText w:val="%1"/>
      <w:numFmt w:val="lowerLetter"/>
      <w:start w:val="1"/>
    </w:lvl>
    <w:lvl w:ilvl="1">
      <w:lvlJc w:val="left"/>
      <w:lvlText w:val="(%2)"/>
      <w:numFmt w:val="lowerLetter"/>
      <w:start w:val="35"/>
    </w:lvl>
  </w:abstractNum>
  <w:abstractNum w:abstractNumId="100">
    <w:nsid w:val="555C55B5"/>
    <w:multiLevelType w:val="hybridMultilevel"/>
    <w:lvl w:ilvl="0">
      <w:lvlJc w:val="left"/>
      <w:lvlText w:val="(%1)"/>
      <w:numFmt w:val="lowerLetter"/>
      <w:start w:val="12"/>
    </w:lvl>
    <w:lvl w:ilvl="1">
      <w:lvlJc w:val="left"/>
      <w:lvlText w:val="%2"/>
      <w:numFmt w:val="lowerLetter"/>
      <w:start w:val="1"/>
    </w:lvl>
  </w:abstractNum>
  <w:abstractNum w:abstractNumId="101">
    <w:nsid w:val="3FA62ACA"/>
    <w:multiLevelType w:val="hybridMultilevel"/>
    <w:lvl w:ilvl="0">
      <w:lvlJc w:val="left"/>
      <w:lvlText w:val="(%1)"/>
      <w:numFmt w:val="lowerLetter"/>
      <w:start w:val="15"/>
    </w:lvl>
  </w:abstractNum>
  <w:abstractNum w:abstractNumId="102">
    <w:nsid w:val="14FCE74E"/>
    <w:multiLevelType w:val="hybridMultilevel"/>
    <w:lvl w:ilvl="0">
      <w:lvlJc w:val="left"/>
      <w:lvlText w:val="(%1)"/>
      <w:numFmt w:val="lowerLetter"/>
      <w:start w:val="21"/>
    </w:lvl>
    <w:lvl w:ilvl="1">
      <w:lvlJc w:val="left"/>
      <w:lvlText w:val="(%2)"/>
      <w:numFmt w:val="lowerRoman"/>
      <w:start w:val="1"/>
    </w:lvl>
  </w:abstractNum>
  <w:abstractNum w:abstractNumId="103">
    <w:nsid w:val="6A3DD3E8"/>
    <w:multiLevelType w:val="hybridMultilevel"/>
    <w:lvl w:ilvl="0">
      <w:lvlJc w:val="left"/>
      <w:lvlText w:val="(%1)"/>
      <w:numFmt w:val="lowerLetter"/>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2019-12-29T04:14:51Z</dcterms:created>
  <dcterms:modified xsi:type="dcterms:W3CDTF">2019-12-29T04:14:51Z</dcterms:modified>
</cp:coreProperties>
</file>