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National Vision Holdings,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63845R107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593725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13G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CUSIP No. 63845R107</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KKR Vision Aggregator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0"/>
              </w:rPr>
              <w:t>43,475,462</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8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ind w:left="296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13G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CUSIP No. 63845R107</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KKR Vision Aggregator GP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0"/>
              </w:rPr>
              <w:t>43,475,462</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8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ind w:left="296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13G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CUSIP No. 63845R107</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KKR North America Fund XI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6"/>
              </w:rPr>
              <w:t>Cayman Islands</w:t>
            </w: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0"/>
              </w:rPr>
              <w:t>43,475,462</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8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PN</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ind w:left="296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63845R107</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KKR Associates North America XI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6"/>
              </w:rPr>
              <w:t>Cayman Islands</w:t>
            </w: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0"/>
              </w:rPr>
              <w:t>43,475,462</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8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PN</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ind w:left="296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13G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CUSIP No. 63845R107</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KKR North America XI Limited</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6"/>
              </w:rPr>
              <w:t>Cayman Islands</w:t>
            </w: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0"/>
              </w:rPr>
              <w:t>43,475,462</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8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9"/>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ind w:left="296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13G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CUSIP No. 63845R107</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KKR Fund Holdings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6"/>
              </w:rPr>
              <w:t>Cayman Islands</w:t>
            </w: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0"/>
              </w:rPr>
              <w:t>43,475,462</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8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ind w:left="296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13G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CUSIP No. 63845R107</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KKR Fund Holdings GP Limited</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6"/>
              </w:rPr>
              <w:t>Cayman Islands</w:t>
            </w: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0"/>
              </w:rPr>
              <w:t>43,475,462</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8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ind w:left="296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13G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CUSIP No. 63845R107</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KKR Group Holdings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6"/>
              </w:rPr>
              <w:t>Cayman Islands</w:t>
            </w: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0"/>
              </w:rPr>
              <w:t>43,475,462</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8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ind w:left="296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13G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CUSIP No. 63845R107</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KKR Group Limited</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6"/>
              </w:rPr>
              <w:t>Cayman Islands</w:t>
            </w: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0"/>
              </w:rPr>
              <w:t>43,475,462</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8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ind w:left="292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color w:val="auto"/>
        </w:rPr>
        <w:t>13G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CUSIP No. 63845R107</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9"/>
              </w:rPr>
              <w:t>KKR &amp; Co. L.P.</w:t>
            </w: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0"/>
              </w:rPr>
              <w:t>43,475,462</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8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PN</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ind w:left="292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13G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CUSIP No. 63845R107</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KKR Management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0"/>
              </w:rPr>
              <w:t>43,475,462</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8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ind w:left="292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13G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CUSIP No. 63845R107</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8"/>
              </w:rPr>
              <w:t>Henry R. Kravis</w:t>
            </w: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0"/>
              </w:rPr>
              <w:t>43,475,462</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8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ind w:left="292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color w:val="auto"/>
        </w:rPr>
        <w:t>13G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CUSIP No. 63845R107</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George R. Roberts</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43,475,462</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0"/>
              </w:rPr>
              <w:t>43,475,462</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8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80" w:type="dxa"/>
            <w:vAlign w:val="bottom"/>
          </w:tcPr>
          <w:p>
            <w:pPr>
              <w:ind w:left="292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STATEMENT ON SCHEDULE 13G</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Rule 13d-1(d) under the Securities Exchange Act of 1934, as amended (the “Act”), each of the persons listed below under Item 2 (each a “Reporting Person,” and collectively the “Reporting Persons”), have agreed to file one statement with respect to their beneficial ownership of Common Stock, par value $0.01 per share (“Common Stock”), of National Vision Holdings, Inc. (the “Issuer”).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5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National Vision Holdings, Inc.</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5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2435 Commerce Avenue, Bldg. 2200, Duluth, Georgia 30096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-636270</wp:posOffset>
            </wp:positionV>
            <wp:extent cx="66294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94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74930</wp:posOffset>
            </wp:positionV>
            <wp:extent cx="66294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2940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5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KKR Vision Aggregator L.P.</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KKR Vision Aggregator GP LLC (“KKR Vision GP”)</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KKR North America Fund XI L.P. (“KKR North America Fund XI”)</w:t>
      </w:r>
    </w:p>
    <w:p>
      <w:pPr>
        <w:spacing w:after="0" w:line="9" w:lineRule="exact"/>
        <w:rPr>
          <w:rFonts w:ascii="Arial" w:cs="Arial" w:eastAsia="Arial" w:hAnsi="Arial"/>
          <w:sz w:val="18"/>
          <w:szCs w:val="18"/>
          <w:color w:val="auto"/>
        </w:rPr>
      </w:pPr>
    </w:p>
    <w:p>
      <w:pPr>
        <w:ind w:left="980" w:right="4900"/>
        <w:spacing w:after="0" w:line="265" w:lineRule="auto"/>
        <w:rPr>
          <w:rFonts w:ascii="Arial" w:cs="Arial" w:eastAsia="Arial" w:hAnsi="Arial"/>
          <w:sz w:val="18"/>
          <w:szCs w:val="18"/>
          <w:color w:val="auto"/>
        </w:rPr>
      </w:pPr>
      <w:r>
        <w:rPr>
          <w:rFonts w:ascii="Arial" w:cs="Arial" w:eastAsia="Arial" w:hAnsi="Arial"/>
          <w:sz w:val="17"/>
          <w:szCs w:val="17"/>
          <w:color w:val="auto"/>
        </w:rPr>
        <w:t>KKR Associates North America XI L.P. (“KKR Associates North America”) KKR North America XI Limited (“KKR North America Limited”)</w:t>
      </w:r>
    </w:p>
    <w:p>
      <w:pPr>
        <w:ind w:left="980"/>
        <w:spacing w:after="0"/>
        <w:rPr>
          <w:rFonts w:ascii="Arial" w:cs="Arial" w:eastAsia="Arial" w:hAnsi="Arial"/>
          <w:sz w:val="18"/>
          <w:szCs w:val="18"/>
          <w:color w:val="auto"/>
        </w:rPr>
      </w:pPr>
      <w:r>
        <w:rPr>
          <w:rFonts w:ascii="Arial" w:cs="Arial" w:eastAsia="Arial" w:hAnsi="Arial"/>
          <w:sz w:val="18"/>
          <w:szCs w:val="18"/>
          <w:color w:val="auto"/>
        </w:rPr>
        <w:t>KKR Fund Holdings L.P. (“KKR Fund Holdings”)</w:t>
      </w:r>
    </w:p>
    <w:p>
      <w:pPr>
        <w:spacing w:after="0" w:line="9" w:lineRule="exact"/>
        <w:rPr>
          <w:rFonts w:ascii="Arial" w:cs="Arial" w:eastAsia="Arial" w:hAnsi="Arial"/>
          <w:sz w:val="18"/>
          <w:szCs w:val="18"/>
          <w:color w:val="auto"/>
        </w:rPr>
      </w:pPr>
    </w:p>
    <w:p>
      <w:pPr>
        <w:ind w:left="980" w:right="5940"/>
        <w:spacing w:after="0" w:line="250" w:lineRule="auto"/>
        <w:rPr>
          <w:rFonts w:ascii="Arial" w:cs="Arial" w:eastAsia="Arial" w:hAnsi="Arial"/>
          <w:sz w:val="18"/>
          <w:szCs w:val="18"/>
          <w:color w:val="auto"/>
        </w:rPr>
      </w:pPr>
      <w:r>
        <w:rPr>
          <w:rFonts w:ascii="Arial" w:cs="Arial" w:eastAsia="Arial" w:hAnsi="Arial"/>
          <w:sz w:val="18"/>
          <w:szCs w:val="18"/>
          <w:color w:val="auto"/>
        </w:rPr>
        <w:t>KKR Fund Holdings GP Limited (“KKR Fund Holdings GP”) KKR Group Holdings L.P. (“KKR Group Holdings”)</w:t>
      </w:r>
    </w:p>
    <w:p>
      <w:pPr>
        <w:ind w:left="980" w:right="7720"/>
        <w:spacing w:after="0" w:line="265" w:lineRule="auto"/>
        <w:rPr>
          <w:rFonts w:ascii="Arial" w:cs="Arial" w:eastAsia="Arial" w:hAnsi="Arial"/>
          <w:sz w:val="18"/>
          <w:szCs w:val="18"/>
          <w:color w:val="auto"/>
        </w:rPr>
      </w:pPr>
      <w:r>
        <w:rPr>
          <w:rFonts w:ascii="Arial" w:cs="Arial" w:eastAsia="Arial" w:hAnsi="Arial"/>
          <w:sz w:val="17"/>
          <w:szCs w:val="17"/>
          <w:color w:val="auto"/>
        </w:rPr>
        <w:t>KKR Group Limited (“KKR Group”) KKR &amp; Co. L.P. (“KKR &amp; Co.”)</w:t>
      </w:r>
    </w:p>
    <w:p>
      <w:pPr>
        <w:ind w:left="980" w:right="7000"/>
        <w:spacing w:after="0" w:line="250" w:lineRule="auto"/>
        <w:rPr>
          <w:rFonts w:ascii="Arial" w:cs="Arial" w:eastAsia="Arial" w:hAnsi="Arial"/>
          <w:sz w:val="18"/>
          <w:szCs w:val="18"/>
          <w:color w:val="auto"/>
        </w:rPr>
      </w:pPr>
      <w:r>
        <w:rPr>
          <w:rFonts w:ascii="Arial" w:cs="Arial" w:eastAsia="Arial" w:hAnsi="Arial"/>
          <w:sz w:val="18"/>
          <w:szCs w:val="18"/>
          <w:color w:val="auto"/>
        </w:rPr>
        <w:t>KKR Management LLC (“KKR Management”) Henry R. Kravis</w:t>
      </w:r>
    </w:p>
    <w:p>
      <w:pPr>
        <w:ind w:left="980"/>
        <w:spacing w:after="0"/>
        <w:rPr>
          <w:rFonts w:ascii="Arial" w:cs="Arial" w:eastAsia="Arial" w:hAnsi="Arial"/>
          <w:sz w:val="18"/>
          <w:szCs w:val="18"/>
          <w:color w:val="auto"/>
        </w:rPr>
      </w:pPr>
      <w:r>
        <w:rPr>
          <w:rFonts w:ascii="Arial" w:cs="Arial" w:eastAsia="Arial" w:hAnsi="Arial"/>
          <w:sz w:val="18"/>
          <w:szCs w:val="18"/>
          <w:color w:val="auto"/>
        </w:rPr>
        <w:t>George R. Roberts</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5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principal business office for all persons filing (other than George R. Roberts) is:</w:t>
      </w:r>
    </w:p>
    <w:p>
      <w:pPr>
        <w:spacing w:after="0" w:line="25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c/o Kohlberg Kravis Roberts &amp; Co. L.P.</w:t>
      </w:r>
    </w:p>
    <w:p>
      <w:pPr>
        <w:spacing w:after="0" w:line="23" w:lineRule="exact"/>
        <w:rPr>
          <w:rFonts w:ascii="Arial" w:cs="Arial" w:eastAsia="Arial" w:hAnsi="Arial"/>
          <w:sz w:val="18"/>
          <w:szCs w:val="18"/>
          <w:color w:val="auto"/>
        </w:rPr>
      </w:pPr>
    </w:p>
    <w:p>
      <w:pPr>
        <w:ind w:left="980" w:right="8260"/>
        <w:spacing w:after="0" w:line="261" w:lineRule="auto"/>
        <w:rPr>
          <w:rFonts w:ascii="Arial" w:cs="Arial" w:eastAsia="Arial" w:hAnsi="Arial"/>
          <w:sz w:val="18"/>
          <w:szCs w:val="18"/>
          <w:color w:val="auto"/>
        </w:rPr>
      </w:pPr>
      <w:r>
        <w:rPr>
          <w:rFonts w:ascii="Arial" w:cs="Arial" w:eastAsia="Arial" w:hAnsi="Arial"/>
          <w:sz w:val="18"/>
          <w:szCs w:val="18"/>
          <w:color w:val="auto"/>
        </w:rPr>
        <w:t>9 West 57th Street, Suite 4200 New York, NY 10019</w:t>
      </w:r>
    </w:p>
    <w:p>
      <w:pPr>
        <w:spacing w:after="0" w:line="21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principal business office for George R. Roberts is:</w:t>
      </w:r>
    </w:p>
    <w:p>
      <w:pPr>
        <w:spacing w:after="0" w:line="252" w:lineRule="exact"/>
        <w:rPr>
          <w:rFonts w:ascii="Arial" w:cs="Arial" w:eastAsia="Arial" w:hAnsi="Arial"/>
          <w:sz w:val="18"/>
          <w:szCs w:val="18"/>
          <w:color w:val="auto"/>
        </w:rPr>
      </w:pPr>
    </w:p>
    <w:p>
      <w:pPr>
        <w:ind w:left="980" w:right="7560"/>
        <w:spacing w:after="0" w:line="264" w:lineRule="auto"/>
        <w:rPr>
          <w:rFonts w:ascii="Arial" w:cs="Arial" w:eastAsia="Arial" w:hAnsi="Arial"/>
          <w:sz w:val="18"/>
          <w:szCs w:val="18"/>
          <w:color w:val="auto"/>
        </w:rPr>
      </w:pPr>
      <w:r>
        <w:rPr>
          <w:rFonts w:ascii="Arial" w:cs="Arial" w:eastAsia="Arial" w:hAnsi="Arial"/>
          <w:sz w:val="18"/>
          <w:szCs w:val="18"/>
          <w:color w:val="auto"/>
        </w:rPr>
        <w:t>c/o Kohlberg Kravis Roberts &amp; Co. L.P. 2800 Sand Hill Road, Suite 200 Menlo Park, CA 94025</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5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See Item 4 of each cover page.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5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Common Stock, par value $0.01 per share.</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80" w:right="9240" w:hanging="324"/>
        <w:spacing w:after="0" w:line="624"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63845R107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-4379595</wp:posOffset>
            </wp:positionV>
            <wp:extent cx="66294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94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-2235835</wp:posOffset>
            </wp:positionV>
            <wp:extent cx="66294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294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-1524000</wp:posOffset>
            </wp:positionV>
            <wp:extent cx="662940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294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-812165</wp:posOffset>
            </wp:positionV>
            <wp:extent cx="66294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294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-126365</wp:posOffset>
            </wp:positionV>
            <wp:extent cx="662940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9400" cy="17145"/>
                    </a:xfrm>
                    <a:prstGeom prst="rect">
                      <a:avLst/>
                    </a:prstGeom>
                    <a:noFill/>
                  </pic:spPr>
                </pic:pic>
              </a:graphicData>
            </a:graphic>
          </wp:anchor>
        </w:drawing>
      </w:r>
    </w:p>
    <w:p>
      <w:pPr>
        <w:sectPr>
          <w:pgSz w:w="11900" w:h="16838" w:orient="portrait"/>
          <w:cols w:equalWidth="0" w:num="1">
            <w:col w:w="11420"/>
          </w:cols>
          <w:pgMar w:left="240" w:top="121" w:right="239" w:bottom="929"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929"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3.</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52" w:lineRule="exact"/>
        <w:rPr>
          <w:rFonts w:ascii="Arial" w:cs="Arial" w:eastAsia="Arial" w:hAnsi="Arial"/>
          <w:sz w:val="18"/>
          <w:szCs w:val="18"/>
          <w:color w:val="auto"/>
        </w:rPr>
      </w:pPr>
    </w:p>
    <w:p>
      <w:pPr>
        <w:ind w:left="980" w:right="480"/>
        <w:spacing w:after="0" w:line="264" w:lineRule="auto"/>
        <w:rPr>
          <w:rFonts w:ascii="Arial" w:cs="Arial" w:eastAsia="Arial" w:hAnsi="Arial"/>
          <w:sz w:val="18"/>
          <w:szCs w:val="18"/>
          <w:color w:val="auto"/>
        </w:rPr>
      </w:pPr>
      <w:r>
        <w:rPr>
          <w:rFonts w:ascii="Arial" w:cs="Arial" w:eastAsia="Arial" w:hAnsi="Arial"/>
          <w:sz w:val="18"/>
          <w:szCs w:val="18"/>
          <w:color w:val="auto"/>
        </w:rPr>
        <w:t>KKR Vision Aggregator L.P. holds 43,475,462 shares of Common Stock, or 58.2% of the outstanding shares of Common Stock based on 74,653,832 shares of Common Stock outstanding as of November 30, 2017, as reported in the Quarterly Report on Form 10-Q filed by the Issuer with the Securities and Exchange Commission on December 7, 2017.</w:t>
      </w:r>
    </w:p>
    <w:p>
      <w:pPr>
        <w:spacing w:after="0" w:line="208" w:lineRule="exact"/>
        <w:rPr>
          <w:rFonts w:ascii="Arial" w:cs="Arial" w:eastAsia="Arial" w:hAnsi="Arial"/>
          <w:sz w:val="18"/>
          <w:szCs w:val="18"/>
          <w:color w:val="auto"/>
        </w:rPr>
      </w:pPr>
    </w:p>
    <w:p>
      <w:pPr>
        <w:ind w:left="980" w:right="80"/>
        <w:spacing w:after="0" w:line="255" w:lineRule="auto"/>
        <w:rPr>
          <w:rFonts w:ascii="Arial" w:cs="Arial" w:eastAsia="Arial" w:hAnsi="Arial"/>
          <w:sz w:val="18"/>
          <w:szCs w:val="18"/>
          <w:color w:val="auto"/>
        </w:rPr>
      </w:pPr>
      <w:r>
        <w:rPr>
          <w:rFonts w:ascii="Arial" w:cs="Arial" w:eastAsia="Arial" w:hAnsi="Arial"/>
          <w:sz w:val="18"/>
          <w:szCs w:val="18"/>
          <w:color w:val="auto"/>
        </w:rPr>
        <w:t>Each of KKR Vision GP (as the general partner of KKR Vision Aggregator L.P.); KKR North America Fund XI (as the sole member of KKR Vision GP); KKR Associates North America (as the general partner of KKR North America Fund XI); KKR North America Limited (as the general partner of KKR Associates North America); KKR Fund Holdings (as the sole shareholder of KKR North America Limited); KKR Fund Holdings GP (as a general partner of KKR Fund Holdings); KKR Group Holdings (as the sole shareholder of KKR Fund Holdings GP and a general partner of KKR Fund Holdings); KKR Group (as the general partner of KKR Group Holdings); KKR &amp; Co. (as the sole shareholder of KKR Group); and KKR Management (as the general partner of KKR &amp; Co.) may also be deemed to be the beneficial owner of the securities held by KKR Vision Aggregator L.P.</w:t>
      </w:r>
    </w:p>
    <w:p>
      <w:pPr>
        <w:spacing w:after="0" w:line="216" w:lineRule="exact"/>
        <w:rPr>
          <w:rFonts w:ascii="Arial" w:cs="Arial" w:eastAsia="Arial" w:hAnsi="Arial"/>
          <w:sz w:val="18"/>
          <w:szCs w:val="18"/>
          <w:color w:val="auto"/>
        </w:rPr>
      </w:pPr>
    </w:p>
    <w:p>
      <w:pPr>
        <w:ind w:left="980" w:right="240"/>
        <w:spacing w:after="0" w:line="342" w:lineRule="auto"/>
        <w:rPr>
          <w:rFonts w:ascii="Arial" w:cs="Arial" w:eastAsia="Arial" w:hAnsi="Arial"/>
          <w:sz w:val="18"/>
          <w:szCs w:val="18"/>
          <w:color w:val="auto"/>
        </w:rPr>
      </w:pPr>
      <w:r>
        <w:rPr>
          <w:rFonts w:ascii="Arial" w:cs="Arial" w:eastAsia="Arial" w:hAnsi="Arial"/>
          <w:sz w:val="16"/>
          <w:szCs w:val="16"/>
          <w:color w:val="auto"/>
        </w:rPr>
        <w:t>KKR Vision GP, KKR North America Fund XI, KKR Associates North America, KKR North America Limited, KKR Fund Holdings, KKR Fund Holdings GP, KKR Group Holdings, KKR Group, KKR &amp; Co. and KKR Management disclaim beneficial ownership of such securities.</w:t>
      </w:r>
    </w:p>
    <w:p>
      <w:pPr>
        <w:spacing w:after="0" w:line="150" w:lineRule="exact"/>
        <w:rPr>
          <w:rFonts w:ascii="Arial" w:cs="Arial" w:eastAsia="Arial" w:hAnsi="Arial"/>
          <w:sz w:val="18"/>
          <w:szCs w:val="18"/>
          <w:color w:val="auto"/>
        </w:rPr>
      </w:pPr>
    </w:p>
    <w:p>
      <w:pPr>
        <w:ind w:left="980"/>
        <w:spacing w:after="0" w:line="277" w:lineRule="auto"/>
        <w:rPr>
          <w:rFonts w:ascii="Arial" w:cs="Arial" w:eastAsia="Arial" w:hAnsi="Arial"/>
          <w:sz w:val="18"/>
          <w:szCs w:val="18"/>
          <w:color w:val="auto"/>
        </w:rPr>
      </w:pPr>
      <w:r>
        <w:rPr>
          <w:rFonts w:ascii="Arial" w:cs="Arial" w:eastAsia="Arial" w:hAnsi="Arial"/>
          <w:sz w:val="18"/>
          <w:szCs w:val="18"/>
          <w:color w:val="auto"/>
        </w:rPr>
        <w:t>As the designated members of KKR Management, Messrs. Henry R. Kravis and George R. Roberts may be deemed to be the beneficial owner of the securities held by KKR Vision Aggregator L.P. but disclaim beneficial ownership of such securities.</w:t>
      </w:r>
    </w:p>
    <w:p>
      <w:pPr>
        <w:spacing w:after="0" w:line="197" w:lineRule="exact"/>
        <w:rPr>
          <w:rFonts w:ascii="Arial" w:cs="Arial" w:eastAsia="Arial" w:hAnsi="Arial"/>
          <w:sz w:val="18"/>
          <w:szCs w:val="18"/>
          <w:color w:val="auto"/>
        </w:rPr>
      </w:pPr>
    </w:p>
    <w:p>
      <w:pPr>
        <w:ind w:left="980" w:right="20"/>
        <w:spacing w:after="0" w:line="264" w:lineRule="auto"/>
        <w:rPr>
          <w:rFonts w:ascii="Arial" w:cs="Arial" w:eastAsia="Arial" w:hAnsi="Arial"/>
          <w:sz w:val="18"/>
          <w:szCs w:val="18"/>
          <w:color w:val="auto"/>
        </w:rPr>
      </w:pPr>
      <w:r>
        <w:rPr>
          <w:rFonts w:ascii="Arial" w:cs="Arial" w:eastAsia="Arial" w:hAnsi="Arial"/>
          <w:sz w:val="18"/>
          <w:szCs w:val="18"/>
          <w:color w:val="auto"/>
        </w:rPr>
        <w:t>Certain of the Reporting Persons and private equity funds managed by Berkshire Partners LLC (“Berkshire”) (collectively, the “Stockholders”) are parties to an Amended and Restated Stockholders’ Agreement (the “Stockholders’ Agreement”), which contains, among other things, certain provisions relating to voting of securities of the Issuer by the parties thereto.</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980" w:right="80"/>
        <w:spacing w:after="0" w:line="272" w:lineRule="auto"/>
        <w:rPr>
          <w:rFonts w:ascii="Arial" w:cs="Arial" w:eastAsia="Arial" w:hAnsi="Arial"/>
          <w:sz w:val="18"/>
          <w:szCs w:val="18"/>
          <w:color w:val="auto"/>
        </w:rPr>
      </w:pPr>
      <w:r>
        <w:rPr>
          <w:rFonts w:ascii="Arial" w:cs="Arial" w:eastAsia="Arial" w:hAnsi="Arial"/>
          <w:sz w:val="17"/>
          <w:szCs w:val="17"/>
          <w:color w:val="auto"/>
        </w:rPr>
        <w:t>By virtue of the Stockholders’ Agreement and the obligations and rights thereunder, the Reporting Persons acknowledge and agree that they are acting as a “group” within the meaning of Section 13(d) of the Securities Exchange Act of 1934 with the other Stockholders and/or certain of their affiliates. Based in part on information provided by the Issuer, such a “group” would be deemed to beneficially own an aggregate of 53,647,003 shares of Common Stock, which represents 71.9% of the Common Stock of the Issuer, as of December 31, 2017. The Reporting Persons expressly disclaim beneficial ownership over any shares of Common Stock that they may be deemed to beneficially own solely by reason of the Stockholder Agreement. Certain entities affiliated with Berkshire are separately making Schedule 13G filings reporting their beneficial ownership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45085</wp:posOffset>
            </wp:positionV>
            <wp:extent cx="662940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29400" cy="1714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324" w:right="7759" w:hanging="324"/>
        <w:spacing w:after="0" w:line="719" w:lineRule="auto"/>
        <w:tabs>
          <w:tab w:leader="none" w:pos="324" w:val="left"/>
        </w:tabs>
        <w:numPr>
          <w:ilvl w:val="0"/>
          <w:numId w:val="7"/>
        </w:numPr>
        <w:rPr>
          <w:rFonts w:ascii="Arial" w:cs="Arial" w:eastAsia="Arial" w:hAnsi="Arial"/>
          <w:sz w:val="15"/>
          <w:szCs w:val="15"/>
          <w:color w:val="auto"/>
        </w:rPr>
      </w:pPr>
      <w:r>
        <w:rPr>
          <w:rFonts w:ascii="Arial" w:cs="Arial" w:eastAsia="Arial" w:hAnsi="Arial"/>
          <w:sz w:val="15"/>
          <w:szCs w:val="15"/>
          <w:color w:val="auto"/>
        </w:rPr>
        <w:t>Percent of class: See Item 4(a) above.</w:t>
      </w:r>
    </w:p>
    <w:p>
      <w:pPr>
        <w:spacing w:after="0" w:line="303" w:lineRule="exact"/>
        <w:rPr>
          <w:rFonts w:ascii="Arial" w:cs="Arial" w:eastAsia="Arial" w:hAnsi="Arial"/>
          <w:sz w:val="15"/>
          <w:szCs w:val="15"/>
          <w:color w:val="auto"/>
        </w:rPr>
      </w:pPr>
    </w:p>
    <w:p>
      <w:pPr>
        <w:ind w:left="324" w:hanging="324"/>
        <w:spacing w:after="0"/>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644" w:right="6099" w:hanging="320"/>
        <w:spacing w:after="0" w:line="606" w:lineRule="auto"/>
        <w:tabs>
          <w:tab w:leader="none" w:pos="644" w:val="left"/>
        </w:tabs>
        <w:numPr>
          <w:ilvl w:val="1"/>
          <w:numId w:val="7"/>
        </w:numPr>
        <w:rPr>
          <w:rFonts w:ascii="Arial" w:cs="Arial" w:eastAsia="Arial" w:hAnsi="Arial"/>
          <w:sz w:val="17"/>
          <w:szCs w:val="17"/>
          <w:color w:val="auto"/>
        </w:rPr>
      </w:pPr>
      <w:r>
        <w:rPr>
          <w:rFonts w:ascii="Arial" w:cs="Arial" w:eastAsia="Arial" w:hAnsi="Arial"/>
          <w:sz w:val="17"/>
          <w:szCs w:val="17"/>
          <w:color w:val="auto"/>
        </w:rPr>
        <w:t>Sole power to vote or to direct the vote See Item 5 of each cover page.</w:t>
      </w:r>
    </w:p>
    <w:p>
      <w:pPr>
        <w:spacing w:after="0" w:line="363" w:lineRule="exact"/>
        <w:rPr>
          <w:rFonts w:ascii="Arial" w:cs="Arial" w:eastAsia="Arial" w:hAnsi="Arial"/>
          <w:sz w:val="17"/>
          <w:szCs w:val="17"/>
          <w:color w:val="auto"/>
        </w:rPr>
      </w:pPr>
    </w:p>
    <w:p>
      <w:pPr>
        <w:ind w:left="644" w:right="5919" w:hanging="320"/>
        <w:spacing w:after="0" w:line="559" w:lineRule="auto"/>
        <w:tabs>
          <w:tab w:leader="none" w:pos="644"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each cover page.</w:t>
      </w:r>
    </w:p>
    <w:p>
      <w:pPr>
        <w:spacing w:after="0" w:line="345" w:lineRule="exact"/>
        <w:rPr>
          <w:rFonts w:ascii="Arial" w:cs="Arial" w:eastAsia="Arial" w:hAnsi="Arial"/>
          <w:sz w:val="18"/>
          <w:szCs w:val="18"/>
          <w:color w:val="auto"/>
        </w:rPr>
      </w:pPr>
    </w:p>
    <w:p>
      <w:pPr>
        <w:ind w:left="644" w:right="5199" w:hanging="320"/>
        <w:spacing w:after="0" w:line="559" w:lineRule="auto"/>
        <w:tabs>
          <w:tab w:leader="none" w:pos="644"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each cover page.</w:t>
      </w:r>
    </w:p>
    <w:p>
      <w:pPr>
        <w:spacing w:after="0" w:line="372" w:lineRule="exact"/>
        <w:rPr>
          <w:rFonts w:ascii="Arial" w:cs="Arial" w:eastAsia="Arial" w:hAnsi="Arial"/>
          <w:sz w:val="18"/>
          <w:szCs w:val="18"/>
          <w:color w:val="auto"/>
        </w:rPr>
      </w:pPr>
    </w:p>
    <w:p>
      <w:pPr>
        <w:ind w:left="644" w:right="5019" w:hanging="320"/>
        <w:spacing w:after="0" w:line="559" w:lineRule="auto"/>
        <w:tabs>
          <w:tab w:leader="none" w:pos="644"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each cover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-3655695</wp:posOffset>
            </wp:positionV>
            <wp:extent cx="662940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29400" cy="17145"/>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-2515235</wp:posOffset>
            </wp:positionV>
            <wp:extent cx="64230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-1666240</wp:posOffset>
            </wp:positionV>
            <wp:extent cx="64230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-825500</wp:posOffset>
            </wp:positionV>
            <wp:extent cx="64230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22860</wp:posOffset>
            </wp:positionV>
            <wp:extent cx="64230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23025" cy="1714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63"/>
          </w:cols>
          <w:pgMar w:left="896" w:top="125"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See Item 4 above. To the best knowledge of the Reporting Persons, no one other than the Reporting Persons, the persons named in Item 4 above and the partners, members, affiliates and shareholders of the Reporting Persons and of the other persons named in Item 4 above has the right to receive or the power to direct the receipt of dividends from, or the proceeds from the sale of, shares of Common Stock.</w:t>
      </w:r>
    </w:p>
    <w:p>
      <w:pPr>
        <w:spacing w:after="0" w:line="204" w:lineRule="exact"/>
        <w:rPr>
          <w:sz w:val="20"/>
          <w:szCs w:val="20"/>
          <w:color w:val="auto"/>
        </w:rPr>
      </w:pPr>
    </w:p>
    <w:p>
      <w:pPr>
        <w:ind w:left="660" w:right="24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4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64" w:right="3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After reasonable inquiry and to the best of the knowledge and belief of the undersigned,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2018</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KKR VISION AGGREGATOR L.P.</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KKR Vision Aggregator GP LLC, its general partner</w:t>
      </w:r>
    </w:p>
    <w:p>
      <w:pPr>
        <w:spacing w:after="0" w:line="211" w:lineRule="exact"/>
        <w:rPr>
          <w:sz w:val="20"/>
          <w:szCs w:val="20"/>
          <w:color w:val="auto"/>
        </w:rPr>
      </w:pPr>
    </w:p>
    <w:tbl>
      <w:tblPr>
        <w:tblLayout w:type="fixed"/>
        <w:tblInd w:w="628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 for William J. Janetschek, Vice President</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KKR VISION AGGREGATOR GP LLC</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 for William J. Janetschek, Vice President</w:t>
            </w:r>
          </w:p>
        </w:tc>
      </w:tr>
    </w:tbl>
    <w:p>
      <w:pPr>
        <w:spacing w:after="0" w:line="19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KKR NORTH AMERICA FUND XI L.P.</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KKR Associates North America XI L.P., its general partner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KKR North America XI Limited, its general partner</w:t>
      </w:r>
    </w:p>
    <w:p>
      <w:pPr>
        <w:spacing w:after="0" w:line="211" w:lineRule="exact"/>
        <w:rPr>
          <w:sz w:val="20"/>
          <w:szCs w:val="20"/>
          <w:color w:val="auto"/>
        </w:rPr>
      </w:pPr>
    </w:p>
    <w:tbl>
      <w:tblPr>
        <w:tblLayout w:type="fixed"/>
        <w:tblInd w:w="628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 for William J. Janetschek, Director</w:t>
            </w:r>
          </w:p>
        </w:tc>
      </w:tr>
    </w:tbl>
    <w:p>
      <w:pPr>
        <w:spacing w:after="0" w:line="19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KKR ASSOCIATES NORTH AMERICA XI L.P.</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KKR North America XI Limited, its general partner</w:t>
      </w:r>
    </w:p>
    <w:p>
      <w:pPr>
        <w:spacing w:after="0" w:line="211" w:lineRule="exact"/>
        <w:rPr>
          <w:sz w:val="20"/>
          <w:szCs w:val="20"/>
          <w:color w:val="auto"/>
        </w:rPr>
      </w:pPr>
    </w:p>
    <w:tbl>
      <w:tblPr>
        <w:tblLayout w:type="fixed"/>
        <w:tblInd w:w="628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 for William J. Janetschek, Director</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KKR NORTH AMERICA XI LIMITED</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 for William J. Janetschek, Director</w:t>
            </w: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left="5080"/>
        <w:spacing w:after="0"/>
        <w:rPr>
          <w:sz w:val="20"/>
          <w:szCs w:val="20"/>
          <w:color w:val="auto"/>
        </w:rPr>
      </w:pPr>
      <w:r>
        <w:rPr>
          <w:rFonts w:ascii="Arial" w:cs="Arial" w:eastAsia="Arial" w:hAnsi="Arial"/>
          <w:sz w:val="18"/>
          <w:szCs w:val="18"/>
          <w:b w:val="1"/>
          <w:bCs w:val="1"/>
          <w:color w:val="auto"/>
        </w:rPr>
        <w:t>KKR FUND HOLDINGS L.P.</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KKR Group Holdings L.P., a general partner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KKR Group Limited, its general partner</w:t>
      </w:r>
    </w:p>
    <w:p>
      <w:pPr>
        <w:spacing w:after="0" w:line="211" w:lineRule="exact"/>
        <w:rPr>
          <w:sz w:val="20"/>
          <w:szCs w:val="20"/>
          <w:color w:val="auto"/>
        </w:rPr>
      </w:pPr>
    </w:p>
    <w:tbl>
      <w:tblPr>
        <w:tblLayout w:type="fixed"/>
        <w:tblInd w:w="508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 for William J. Janetschek, Director</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KKR FUND HOLDINGS GP LIMITED</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 for William J. Janetschek, Director</w:t>
            </w:r>
          </w:p>
        </w:tc>
      </w:tr>
    </w:tbl>
    <w:p>
      <w:pPr>
        <w:spacing w:after="0" w:line="19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KKR GROUP HOLDINGS L.P.</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KKR Group Limited, its general partner</w:t>
      </w:r>
    </w:p>
    <w:p>
      <w:pPr>
        <w:spacing w:after="0" w:line="211" w:lineRule="exact"/>
        <w:rPr>
          <w:sz w:val="20"/>
          <w:szCs w:val="20"/>
          <w:color w:val="auto"/>
        </w:rPr>
      </w:pPr>
    </w:p>
    <w:tbl>
      <w:tblPr>
        <w:tblLayout w:type="fixed"/>
        <w:tblInd w:w="508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 for William J. Janetschek, Director</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KKR GROUP LIMITED</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 for William J. Janetschek, Director</w:t>
            </w:r>
          </w:p>
        </w:tc>
      </w:tr>
    </w:tbl>
    <w:p>
      <w:pPr>
        <w:spacing w:after="0" w:line="19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KKR &amp; CO. L.P.</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KKR Management LLC, its general partner</w:t>
      </w:r>
    </w:p>
    <w:p>
      <w:pPr>
        <w:spacing w:after="0" w:line="211" w:lineRule="exact"/>
        <w:rPr>
          <w:sz w:val="20"/>
          <w:szCs w:val="20"/>
          <w:color w:val="auto"/>
        </w:rPr>
      </w:pPr>
    </w:p>
    <w:tbl>
      <w:tblPr>
        <w:tblLayout w:type="fixed"/>
        <w:tblInd w:w="508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w w:val="99"/>
              </w:rPr>
              <w:t>Attorney-in-fact for William J. Janetschek, Chief Financial</w:t>
            </w:r>
          </w:p>
        </w:tc>
      </w:tr>
      <w:tr>
        <w:trPr>
          <w:trHeight w:val="230"/>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Officer</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KKR MANAGEMENT LLC</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w w:val="99"/>
              </w:rPr>
              <w:t>Attorney-in-fact for William J. Janetschek, Chief Financial</w:t>
            </w:r>
          </w:p>
        </w:tc>
      </w:tr>
      <w:tr>
        <w:trPr>
          <w:trHeight w:val="230"/>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Officer</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HENRY R. KRAVIS</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GEORGE R. ROBERTS</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400"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4120"/>
              <w:spacing w:after="0"/>
              <w:rPr>
                <w:sz w:val="20"/>
                <w:szCs w:val="20"/>
                <w:color w:val="auto"/>
              </w:rPr>
            </w:pPr>
            <w:r>
              <w:rPr>
                <w:rFonts w:ascii="Arial" w:cs="Arial" w:eastAsia="Arial" w:hAnsi="Arial"/>
                <w:sz w:val="18"/>
                <w:szCs w:val="18"/>
                <w:b w:val="1"/>
                <w:bCs w:val="1"/>
                <w:color w:val="auto"/>
              </w:rPr>
              <w:t>EXHIBITS</w:t>
            </w:r>
          </w:p>
        </w:tc>
      </w:tr>
      <w:tr>
        <w:trPr>
          <w:trHeight w:val="441"/>
        </w:trPr>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Exhibit</w:t>
            </w:r>
          </w:p>
        </w:tc>
        <w:tc>
          <w:tcPr>
            <w:tcW w:w="10260" w:type="dxa"/>
            <w:vAlign w:val="bottom"/>
          </w:tcPr>
          <w:p>
            <w:pPr>
              <w:spacing w:after="0"/>
              <w:rPr>
                <w:sz w:val="24"/>
                <w:szCs w:val="24"/>
                <w:color w:val="auto"/>
              </w:rPr>
            </w:pPr>
          </w:p>
        </w:tc>
      </w:tr>
      <w:tr>
        <w:trPr>
          <w:trHeight w:val="24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20"/>
                <w:szCs w:val="20"/>
                <w:color w:val="auto"/>
              </w:rPr>
            </w:pPr>
          </w:p>
        </w:tc>
        <w:tc>
          <w:tcPr>
            <w:tcW w:w="10260" w:type="dxa"/>
            <w:vAlign w:val="bottom"/>
            <w:tcBorders>
              <w:bottom w:val="single" w:sz="8" w:color="auto"/>
            </w:tcBorders>
          </w:tcPr>
          <w:p>
            <w:pPr>
              <w:ind w:left="4940"/>
              <w:spacing w:after="0"/>
              <w:rPr>
                <w:sz w:val="20"/>
                <w:szCs w:val="20"/>
                <w:color w:val="auto"/>
              </w:rPr>
            </w:pPr>
            <w:r>
              <w:rPr>
                <w:rFonts w:ascii="Arial" w:cs="Arial" w:eastAsia="Arial" w:hAnsi="Arial"/>
                <w:sz w:val="18"/>
                <w:szCs w:val="18"/>
                <w:b w:val="1"/>
                <w:bCs w:val="1"/>
                <w:color w:val="auto"/>
              </w:rPr>
              <w:t>Title</w:t>
            </w:r>
          </w:p>
        </w:tc>
      </w:tr>
    </w:tbl>
    <w:p>
      <w:pPr>
        <w:spacing w:after="0" w:line="202" w:lineRule="exact"/>
        <w:rPr>
          <w:sz w:val="20"/>
          <w:szCs w:val="20"/>
          <w:color w:val="auto"/>
        </w:rPr>
      </w:pPr>
    </w:p>
    <w:p>
      <w:pPr>
        <w:ind w:left="1160" w:right="600" w:hanging="1152"/>
        <w:spacing w:after="0" w:line="277" w:lineRule="auto"/>
        <w:tabs>
          <w:tab w:leader="none" w:pos="1160" w:val="left"/>
        </w:tabs>
        <w:numPr>
          <w:ilvl w:val="0"/>
          <w:numId w:val="8"/>
        </w:numPr>
        <w:rPr>
          <w:rFonts w:ascii="Arial" w:cs="Arial" w:eastAsia="Arial" w:hAnsi="Arial"/>
          <w:sz w:val="18"/>
          <w:szCs w:val="18"/>
          <w:u w:val="single" w:color="auto"/>
          <w:color w:val="0000EE"/>
        </w:rPr>
      </w:pPr>
      <w:r>
        <w:rPr>
          <w:rFonts w:ascii="Arial" w:cs="Arial" w:eastAsia="Arial" w:hAnsi="Arial"/>
          <w:sz w:val="18"/>
          <w:szCs w:val="18"/>
          <w:color w:val="auto"/>
        </w:rPr>
        <w:t>Joint Filing Agreement, dated as of February 13, 2018, as required by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ind w:left="1160" w:hanging="1152"/>
        <w:spacing w:after="0"/>
        <w:tabs>
          <w:tab w:leader="none" w:pos="1160" w:val="left"/>
        </w:tabs>
        <w:numPr>
          <w:ilvl w:val="0"/>
          <w:numId w:val="9"/>
        </w:numPr>
        <w:rPr>
          <w:rFonts w:ascii="Arial" w:cs="Arial" w:eastAsia="Arial" w:hAnsi="Arial"/>
          <w:sz w:val="18"/>
          <w:szCs w:val="18"/>
          <w:u w:val="single" w:color="auto"/>
          <w:color w:val="0000EE"/>
        </w:rPr>
      </w:pPr>
      <w:r>
        <w:rPr>
          <w:rFonts w:ascii="Arial" w:cs="Arial" w:eastAsia="Arial" w:hAnsi="Arial"/>
          <w:sz w:val="18"/>
          <w:szCs w:val="18"/>
          <w:color w:val="auto"/>
        </w:rPr>
        <w:t>Power of Attorneys granted by Henry R. Kravis, George R. Roberts and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accordance with Rule 13d-1(k) of the Securities Exchange Act of 1934, as amended, the undersigned agree to the joint filing on behalf of each of them of a Statement on Schedule 13G (including any and all amendments thereto) with respect to the common stock, par value $0.01 per share, of National Vision Holdings, Inc. and further agree that this Joint Filing Agreement shall be included as an Exhibit to such joint filing. In evidence thereof, the undersigned, being duly authorized, hereby execute this Joint Filing Agreement as of February 13, 2018.</w:t>
      </w:r>
    </w:p>
    <w:p>
      <w:pPr>
        <w:spacing w:after="0" w:line="210"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KKR VISION AGGREGATOR L.P.</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KKR Vision Aggregator GP LLC, its general partner</w:t>
      </w:r>
    </w:p>
    <w:p>
      <w:pPr>
        <w:spacing w:after="0" w:line="211" w:lineRule="exact"/>
        <w:rPr>
          <w:sz w:val="20"/>
          <w:szCs w:val="20"/>
          <w:color w:val="auto"/>
        </w:rPr>
      </w:pPr>
    </w:p>
    <w:tbl>
      <w:tblPr>
        <w:tblLayout w:type="fixed"/>
        <w:tblInd w:w="628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 for William J. Janetschek, Vice President</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KKR VISION AGGREGATOR GP LLC</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 for William J. Janetschek, Vice President</w:t>
            </w:r>
          </w:p>
        </w:tc>
      </w:tr>
    </w:tbl>
    <w:p>
      <w:pPr>
        <w:spacing w:after="0" w:line="19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KKR NORTH AMERICA FUND XI L.P.</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KKR Associates North America XI L.P., its general partner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KKR North America XI Limited, its general partner</w:t>
      </w:r>
    </w:p>
    <w:p>
      <w:pPr>
        <w:spacing w:after="0" w:line="211" w:lineRule="exact"/>
        <w:rPr>
          <w:sz w:val="20"/>
          <w:szCs w:val="20"/>
          <w:color w:val="auto"/>
        </w:rPr>
      </w:pPr>
    </w:p>
    <w:tbl>
      <w:tblPr>
        <w:tblLayout w:type="fixed"/>
        <w:tblInd w:w="628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 for William J. Janetschek, Director</w:t>
            </w:r>
          </w:p>
        </w:tc>
      </w:tr>
    </w:tbl>
    <w:p>
      <w:pPr>
        <w:spacing w:after="0" w:line="19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KKR ASSOCIATES NORTH AMERICA XI L.P.</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KKR North America XI Limited, 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60" w:type="dxa"/>
            <w:vAlign w:val="bottom"/>
          </w:tcPr>
          <w:p>
            <w:pPr>
              <w:ind w:left="62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6860" w:type="dxa"/>
            <w:vAlign w:val="bottom"/>
          </w:tcPr>
          <w:p>
            <w:pPr>
              <w:ind w:left="6280"/>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6860" w:type="dxa"/>
            <w:vAlign w:val="bottom"/>
          </w:tcPr>
          <w:p>
            <w:pPr>
              <w:ind w:left="628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 for William J. Janetschek, Director</w:t>
            </w:r>
          </w:p>
        </w:tc>
      </w:tr>
      <w:tr>
        <w:trPr>
          <w:trHeight w:val="432"/>
        </w:trPr>
        <w:tc>
          <w:tcPr>
            <w:tcW w:w="11420" w:type="dxa"/>
            <w:vAlign w:val="bottom"/>
            <w:gridSpan w:val="2"/>
          </w:tcPr>
          <w:p>
            <w:pPr>
              <w:ind w:left="6280"/>
              <w:spacing w:after="0"/>
              <w:rPr>
                <w:sz w:val="20"/>
                <w:szCs w:val="20"/>
                <w:color w:val="auto"/>
              </w:rPr>
            </w:pPr>
            <w:r>
              <w:rPr>
                <w:rFonts w:ascii="Arial" w:cs="Arial" w:eastAsia="Arial" w:hAnsi="Arial"/>
                <w:sz w:val="18"/>
                <w:szCs w:val="18"/>
                <w:b w:val="1"/>
                <w:bCs w:val="1"/>
                <w:color w:val="auto"/>
              </w:rPr>
              <w:t>KKR NORTH AMERICA XI LIMITED</w:t>
            </w:r>
          </w:p>
        </w:tc>
      </w:tr>
      <w:tr>
        <w:trPr>
          <w:trHeight w:val="439"/>
        </w:trPr>
        <w:tc>
          <w:tcPr>
            <w:tcW w:w="6860" w:type="dxa"/>
            <w:vAlign w:val="bottom"/>
          </w:tcPr>
          <w:p>
            <w:pPr>
              <w:ind w:left="62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6860" w:type="dxa"/>
            <w:vAlign w:val="bottom"/>
          </w:tcPr>
          <w:p>
            <w:pPr>
              <w:ind w:left="6280"/>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6860" w:type="dxa"/>
            <w:vAlign w:val="bottom"/>
          </w:tcPr>
          <w:p>
            <w:pPr>
              <w:ind w:left="628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 for William J. Janetschek, Director</w:t>
            </w:r>
          </w:p>
        </w:tc>
      </w:tr>
      <w:tr>
        <w:trPr>
          <w:trHeight w:val="426"/>
        </w:trPr>
        <w:tc>
          <w:tcPr>
            <w:tcW w:w="68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2" w:name="page23"/>
    <w:bookmarkEnd w:id="22"/>
    <w:p>
      <w:pPr>
        <w:ind w:left="6280"/>
        <w:spacing w:after="0"/>
        <w:rPr>
          <w:sz w:val="20"/>
          <w:szCs w:val="20"/>
          <w:color w:val="auto"/>
        </w:rPr>
      </w:pPr>
      <w:r>
        <w:rPr>
          <w:rFonts w:ascii="Arial" w:cs="Arial" w:eastAsia="Arial" w:hAnsi="Arial"/>
          <w:sz w:val="18"/>
          <w:szCs w:val="18"/>
          <w:b w:val="1"/>
          <w:bCs w:val="1"/>
          <w:color w:val="auto"/>
        </w:rPr>
        <w:t>KKR FUND HOLDINGS L.P.</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KKR Group Holdings L.P., a general partner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KKR Group Limited, its general partner</w:t>
      </w:r>
    </w:p>
    <w:p>
      <w:pPr>
        <w:spacing w:after="0" w:line="211" w:lineRule="exact"/>
        <w:rPr>
          <w:sz w:val="20"/>
          <w:szCs w:val="20"/>
          <w:color w:val="auto"/>
        </w:rPr>
      </w:pPr>
    </w:p>
    <w:tbl>
      <w:tblPr>
        <w:tblLayout w:type="fixed"/>
        <w:tblInd w:w="628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 for William J. Janetschek, Director</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KKR FUND HOLDINGS GP LIMITED</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 for William J. Janetschek, Director</w:t>
            </w:r>
          </w:p>
        </w:tc>
      </w:tr>
    </w:tbl>
    <w:p>
      <w:pPr>
        <w:spacing w:after="0" w:line="19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KKR GROUP HOLDINGS L.P.</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KKR Group Limited, its general partner</w:t>
      </w:r>
    </w:p>
    <w:p>
      <w:pPr>
        <w:spacing w:after="0" w:line="211" w:lineRule="exact"/>
        <w:rPr>
          <w:sz w:val="20"/>
          <w:szCs w:val="20"/>
          <w:color w:val="auto"/>
        </w:rPr>
      </w:pPr>
    </w:p>
    <w:tbl>
      <w:tblPr>
        <w:tblLayout w:type="fixed"/>
        <w:tblInd w:w="628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 for William J. Janetschek, Director</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KKR GROUP LIMITED</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 for William J. Janetschek, Director</w:t>
            </w:r>
          </w:p>
        </w:tc>
      </w:tr>
    </w:tbl>
    <w:p>
      <w:pPr>
        <w:spacing w:after="0" w:line="19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KKR &amp; CO. L.P.</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KKR Management LLC, 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60" w:type="dxa"/>
            <w:vAlign w:val="bottom"/>
          </w:tcPr>
          <w:p>
            <w:pPr>
              <w:ind w:left="62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6860" w:type="dxa"/>
            <w:vAlign w:val="bottom"/>
          </w:tcPr>
          <w:p>
            <w:pPr>
              <w:ind w:left="6280"/>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16"/>
        </w:trPr>
        <w:tc>
          <w:tcPr>
            <w:tcW w:w="6860" w:type="dxa"/>
            <w:vAlign w:val="bottom"/>
          </w:tcPr>
          <w:p>
            <w:pPr>
              <w:ind w:left="628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w w:val="99"/>
              </w:rPr>
              <w:t>Attorney-in-fact for William J. Janetschek, Chief Financial</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Officer</w:t>
            </w:r>
          </w:p>
        </w:tc>
      </w:tr>
      <w:tr>
        <w:trPr>
          <w:trHeight w:val="432"/>
        </w:trPr>
        <w:tc>
          <w:tcPr>
            <w:tcW w:w="11420" w:type="dxa"/>
            <w:vAlign w:val="bottom"/>
            <w:gridSpan w:val="2"/>
          </w:tcPr>
          <w:p>
            <w:pPr>
              <w:ind w:left="6280"/>
              <w:spacing w:after="0"/>
              <w:rPr>
                <w:sz w:val="20"/>
                <w:szCs w:val="20"/>
                <w:color w:val="auto"/>
              </w:rPr>
            </w:pPr>
            <w:r>
              <w:rPr>
                <w:rFonts w:ascii="Arial" w:cs="Arial" w:eastAsia="Arial" w:hAnsi="Arial"/>
                <w:sz w:val="18"/>
                <w:szCs w:val="18"/>
                <w:b w:val="1"/>
                <w:bCs w:val="1"/>
                <w:color w:val="auto"/>
              </w:rPr>
              <w:t>KKR MANAGEMENT LLC</w:t>
            </w:r>
          </w:p>
        </w:tc>
      </w:tr>
      <w:tr>
        <w:trPr>
          <w:trHeight w:val="439"/>
        </w:trPr>
        <w:tc>
          <w:tcPr>
            <w:tcW w:w="6860" w:type="dxa"/>
            <w:vAlign w:val="bottom"/>
          </w:tcPr>
          <w:p>
            <w:pPr>
              <w:ind w:left="62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6860" w:type="dxa"/>
            <w:vAlign w:val="bottom"/>
          </w:tcPr>
          <w:p>
            <w:pPr>
              <w:ind w:left="6280"/>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16"/>
        </w:trPr>
        <w:tc>
          <w:tcPr>
            <w:tcW w:w="6860" w:type="dxa"/>
            <w:vAlign w:val="bottom"/>
          </w:tcPr>
          <w:p>
            <w:pPr>
              <w:ind w:left="628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w w:val="99"/>
              </w:rPr>
              <w:t>Attorney-in-fact for William J. Janetschek, Chief Financial</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Officer</w:t>
            </w:r>
          </w:p>
        </w:tc>
      </w:tr>
      <w:tr>
        <w:trPr>
          <w:trHeight w:val="432"/>
        </w:trPr>
        <w:tc>
          <w:tcPr>
            <w:tcW w:w="11420" w:type="dxa"/>
            <w:vAlign w:val="bottom"/>
            <w:gridSpan w:val="2"/>
          </w:tcPr>
          <w:p>
            <w:pPr>
              <w:ind w:left="6280"/>
              <w:spacing w:after="0"/>
              <w:rPr>
                <w:sz w:val="20"/>
                <w:szCs w:val="20"/>
                <w:color w:val="auto"/>
              </w:rPr>
            </w:pPr>
            <w:r>
              <w:rPr>
                <w:rFonts w:ascii="Arial" w:cs="Arial" w:eastAsia="Arial" w:hAnsi="Arial"/>
                <w:sz w:val="18"/>
                <w:szCs w:val="18"/>
                <w:b w:val="1"/>
                <w:bCs w:val="1"/>
                <w:color w:val="auto"/>
              </w:rPr>
              <w:t>HENRY R. KRAVIS</w:t>
            </w:r>
          </w:p>
        </w:tc>
      </w:tr>
      <w:tr>
        <w:trPr>
          <w:trHeight w:val="439"/>
        </w:trPr>
        <w:tc>
          <w:tcPr>
            <w:tcW w:w="6860" w:type="dxa"/>
            <w:vAlign w:val="bottom"/>
          </w:tcPr>
          <w:p>
            <w:pPr>
              <w:ind w:left="62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6860" w:type="dxa"/>
            <w:vAlign w:val="bottom"/>
          </w:tcPr>
          <w:p>
            <w:pPr>
              <w:ind w:left="6280"/>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6860" w:type="dxa"/>
            <w:vAlign w:val="bottom"/>
          </w:tcPr>
          <w:p>
            <w:pPr>
              <w:ind w:left="628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432"/>
        </w:trPr>
        <w:tc>
          <w:tcPr>
            <w:tcW w:w="11420" w:type="dxa"/>
            <w:vAlign w:val="bottom"/>
            <w:gridSpan w:val="2"/>
          </w:tcPr>
          <w:p>
            <w:pPr>
              <w:ind w:left="6280"/>
              <w:spacing w:after="0"/>
              <w:rPr>
                <w:sz w:val="20"/>
                <w:szCs w:val="20"/>
                <w:color w:val="auto"/>
              </w:rPr>
            </w:pPr>
            <w:r>
              <w:rPr>
                <w:rFonts w:ascii="Arial" w:cs="Arial" w:eastAsia="Arial" w:hAnsi="Arial"/>
                <w:sz w:val="18"/>
                <w:szCs w:val="18"/>
                <w:b w:val="1"/>
                <w:bCs w:val="1"/>
                <w:color w:val="auto"/>
              </w:rPr>
              <w:t>GEORGE R. ROBERTS</w:t>
            </w:r>
          </w:p>
        </w:tc>
      </w:tr>
      <w:tr>
        <w:trPr>
          <w:trHeight w:val="439"/>
        </w:trPr>
        <w:tc>
          <w:tcPr>
            <w:tcW w:w="6860" w:type="dxa"/>
            <w:vAlign w:val="bottom"/>
          </w:tcPr>
          <w:p>
            <w:pPr>
              <w:ind w:left="62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P. Gallagher</w:t>
            </w:r>
          </w:p>
        </w:tc>
      </w:tr>
      <w:tr>
        <w:trPr>
          <w:trHeight w:val="202"/>
        </w:trPr>
        <w:tc>
          <w:tcPr>
            <w:tcW w:w="6860" w:type="dxa"/>
            <w:vAlign w:val="bottom"/>
          </w:tcPr>
          <w:p>
            <w:pPr>
              <w:ind w:left="6280"/>
              <w:spacing w:after="0" w:line="201"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Terence P. Gallagher</w:t>
            </w:r>
          </w:p>
        </w:tc>
      </w:tr>
      <w:tr>
        <w:trPr>
          <w:trHeight w:val="230"/>
        </w:trPr>
        <w:tc>
          <w:tcPr>
            <w:tcW w:w="6860" w:type="dxa"/>
            <w:vAlign w:val="bottom"/>
          </w:tcPr>
          <w:p>
            <w:pPr>
              <w:ind w:left="628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534"/>
        </w:trPr>
        <w:tc>
          <w:tcPr>
            <w:tcW w:w="68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Know all men by these presents that Henry R. Kravis does hereby make, constitute and appoint William J. Janetschek, David J. Sorkin, Terence P. Gallagher, and Christopher B.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Henry R. Kravis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Henry R. Kravis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Know all men by these presents that George R. Roberts does hereby make, constitute and appoint William J. Janetschek, David J. Sorkin, Terence P. Gallagher, and Christopher B.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George 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George R. Roberts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Know all men by these presents that William J. Janetschek does hereby make, constitute and appoint David J. Sorkin, Terence P. Gallagher, and Christopher B.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J. Janetschek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60"/>
      </w:cols>
      <w:pgMar w:left="240" w:top="12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2"/>
    </w:lvl>
    <w:lvl w:ilvl="1">
      <w:lvlJc w:val="left"/>
      <w:lvlText w:val="(%2)"/>
      <w:numFmt w:val="lowerRoman"/>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2019-12-17T06:12:35Z</dcterms:created>
  <dcterms:modified xsi:type="dcterms:W3CDTF">2019-12-17T06:12:35Z</dcterms:modified>
</cp:coreProperties>
</file>