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FAHS L READE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right="46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National Vision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219"/>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64"/>
        </w:trPr>
        <w:tc>
          <w:tcPr>
            <w:tcW w:w="20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60"/>
              <w:spacing w:after="0" w:line="164"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0"/>
        </w:trPr>
        <w:tc>
          <w:tcPr>
            <w:tcW w:w="200" w:type="dxa"/>
            <w:vAlign w:val="bottom"/>
          </w:tcPr>
          <w:p>
            <w:pPr>
              <w:ind w:left="60"/>
              <w:spacing w:after="0"/>
              <w:rPr>
                <w:sz w:val="20"/>
                <w:szCs w:val="20"/>
                <w:color w:val="auto"/>
              </w:rPr>
            </w:pPr>
            <w:r>
              <w:rPr>
                <w:rFonts w:ascii="Arial" w:cs="Arial" w:eastAsia="Arial" w:hAnsi="Arial"/>
                <w:sz w:val="13"/>
                <w:szCs w:val="13"/>
                <w:color w:val="auto"/>
              </w:rPr>
              <w:t>3.</w:t>
            </w:r>
          </w:p>
        </w:tc>
        <w:tc>
          <w:tcPr>
            <w:tcW w:w="3620" w:type="dxa"/>
            <w:vAlign w:val="bottom"/>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32"/>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02/28/2021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Chief Executive Officer</w:t>
            </w:r>
          </w:p>
        </w:tc>
      </w:tr>
      <w:tr>
        <w:trPr>
          <w:trHeight w:val="320"/>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8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186055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5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880" w:type="dxa"/>
            <w:vAlign w:val="bottom"/>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02/28/2021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5,385</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223,422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02/28/2021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2,419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221,003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5,385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02/28/2021</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5,385</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10,770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2021, 5,385 restricted stock units vested and 2,419 shares of the Company's common stock were withheld to satisfy tax withholding obligations. The closing price on February 26, 2021 (as February 28, 2021 fell on a weekend) of the Company's common stock on NASDAQ was $47.49 per share.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2020, the reporting person was granted 16,155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03/02/2021</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1253" TargetMode="External"/><Relationship Id="rId14"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2021-03-02T15:36:37Z</dcterms:created>
  <dcterms:modified xsi:type="dcterms:W3CDTF">2021-03-02T15:36:37Z</dcterms:modified>
</cp:coreProperties>
</file>