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Moore Patrick 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46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SVP, Chief Financial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60"/>
              <w:spacing w:after="0"/>
              <w:rPr>
                <w:sz w:val="20"/>
                <w:szCs w:val="20"/>
                <w:color w:val="auto"/>
              </w:rPr>
            </w:pPr>
            <w:r>
              <w:rPr>
                <w:rFonts w:ascii="Arial" w:cs="Arial" w:eastAsia="Arial" w:hAnsi="Arial"/>
                <w:sz w:val="17"/>
                <w:szCs w:val="17"/>
                <w:color w:val="0000FF"/>
              </w:rPr>
              <w:t>02/28/2022</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02/28/2022</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2,393</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18,318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02/28/2022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1,080</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17,238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2,393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02/28/2022</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2,393</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85"/>
              </w:rPr>
              <w:t>11,716</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2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2022, 2,393 restricted stock units vested and 1,080 shares of the Company's common stock were withheld to satisfy tax withholding obligations. The closing price on February 28, 2022 of the Company's common stock on NASDAQ was $36.67 per share.</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2020, the reporting person was granted 7,180 restricted stock units, vesting in three equal annual installments beginning on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03/02/2022</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9844"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2022-03-02T15:49:12Z</dcterms:created>
  <dcterms:modified xsi:type="dcterms:W3CDTF">2022-03-02T15:49:12Z</dcterms:modified>
</cp:coreProperties>
</file>