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6257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257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112"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VanDette Joseph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00"/>
        <w:spacing w:after="0" w:line="384" w:lineRule="auto"/>
        <w:rPr>
          <w:sz w:val="20"/>
          <w:szCs w:val="20"/>
          <w:color w:val="auto"/>
        </w:rPr>
      </w:pPr>
      <w:r>
        <w:rPr>
          <w:rFonts w:ascii="Times New Roman" w:cs="Times New Roman" w:eastAsia="Times New Roman" w:hAnsi="Times New Roman"/>
          <w:sz w:val="16"/>
          <w:szCs w:val="16"/>
          <w:color w:val="0000FF"/>
        </w:rPr>
        <w:t>C/O NATIONAL VISION HOLDINGS, INC. 2435 COMMERCE AVENUE, BLDG 2200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DULUTH</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30096</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National Vision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EYE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420" w:type="dxa"/>
            <w:vAlign w:val="bottom"/>
            <w:tcBorders>
              <w:top w:val="single" w:sz="8" w:color="0000EE"/>
            </w:tcBorders>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04/11/2023</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SVP, Chief Marketing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11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jc w:val="center"/>
              <w:ind w:left="51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11"/>
              <w:spacing w:after="0"/>
              <w:rPr>
                <w:sz w:val="20"/>
                <w:szCs w:val="20"/>
                <w:color w:val="auto"/>
              </w:rPr>
            </w:pPr>
            <w:r>
              <w:rPr>
                <w:rFonts w:ascii="Times New Roman" w:cs="Times New Roman" w:eastAsia="Times New Roman" w:hAnsi="Times New Roman"/>
                <w:sz w:val="17"/>
                <w:szCs w:val="17"/>
                <w:color w:val="0000FF"/>
                <w:w w:val="98"/>
              </w:rPr>
              <w:t>04/11/2023</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9"/>
              </w:rPr>
              <w:t>1,156</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1,156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11"/>
              <w:spacing w:after="0"/>
              <w:rPr>
                <w:sz w:val="20"/>
                <w:szCs w:val="20"/>
                <w:color w:val="auto"/>
              </w:rPr>
            </w:pPr>
            <w:r>
              <w:rPr>
                <w:rFonts w:ascii="Times New Roman" w:cs="Times New Roman" w:eastAsia="Times New Roman" w:hAnsi="Times New Roman"/>
                <w:sz w:val="17"/>
                <w:szCs w:val="17"/>
                <w:color w:val="0000FF"/>
                <w:w w:val="98"/>
              </w:rPr>
              <w:t>04/11/2023</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rPr>
              <w:t>410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(2)</w:t>
            </w: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746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11"/>
              <w:spacing w:after="0"/>
              <w:rPr>
                <w:sz w:val="20"/>
                <w:szCs w:val="20"/>
                <w:color w:val="auto"/>
              </w:rPr>
            </w:pPr>
            <w:r>
              <w:rPr>
                <w:rFonts w:ascii="Times New Roman" w:cs="Times New Roman" w:eastAsia="Times New Roman" w:hAnsi="Times New Roman"/>
                <w:sz w:val="17"/>
                <w:szCs w:val="17"/>
                <w:color w:val="0000FF"/>
                <w:w w:val="98"/>
              </w:rPr>
              <w:t>04/11/2023</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9"/>
              </w:rPr>
              <w:t>1,830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2,576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11"/>
              <w:spacing w:after="0"/>
              <w:rPr>
                <w:sz w:val="20"/>
                <w:szCs w:val="20"/>
                <w:color w:val="auto"/>
              </w:rPr>
            </w:pPr>
            <w:r>
              <w:rPr>
                <w:rFonts w:ascii="Times New Roman" w:cs="Times New Roman" w:eastAsia="Times New Roman" w:hAnsi="Times New Roman"/>
                <w:sz w:val="17"/>
                <w:szCs w:val="17"/>
                <w:color w:val="0000FF"/>
                <w:w w:val="98"/>
              </w:rPr>
              <w:t>04/11/2023</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rPr>
              <w:t>648</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(3)</w:t>
            </w: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1,928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2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1,156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04/11/2023</w:t>
            </w:r>
          </w:p>
        </w:tc>
        <w:tc>
          <w:tcPr>
            <w:tcW w:w="1100" w:type="dxa"/>
            <w:vAlign w:val="bottom"/>
          </w:tcPr>
          <w:p>
            <w:pPr>
              <w:spacing w:after="0"/>
              <w:rPr>
                <w:sz w:val="11"/>
                <w:szCs w:val="11"/>
                <w:color w:val="auto"/>
              </w:rPr>
            </w:pPr>
          </w:p>
        </w:tc>
        <w:tc>
          <w:tcPr>
            <w:tcW w:w="7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30" w:lineRule="exact"/>
              <w:rPr>
                <w:sz w:val="20"/>
                <w:szCs w:val="20"/>
                <w:color w:val="auto"/>
              </w:rPr>
            </w:pPr>
            <w:r>
              <w:rPr>
                <w:rFonts w:ascii="Times New Roman" w:cs="Times New Roman" w:eastAsia="Times New Roman" w:hAnsi="Times New Roman"/>
                <w:sz w:val="13"/>
                <w:szCs w:val="13"/>
                <w:color w:val="0000FF"/>
              </w:rPr>
              <w:t>1,156</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25,697</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(5)</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04/11/2023</w:t>
            </w:r>
          </w:p>
        </w:tc>
        <w:tc>
          <w:tcPr>
            <w:tcW w:w="1100" w:type="dxa"/>
            <w:vAlign w:val="bottom"/>
          </w:tcPr>
          <w:p>
            <w:pPr>
              <w:spacing w:after="0"/>
              <w:rPr>
                <w:sz w:val="11"/>
                <w:szCs w:val="11"/>
                <w:color w:val="auto"/>
              </w:rPr>
            </w:pPr>
          </w:p>
        </w:tc>
        <w:tc>
          <w:tcPr>
            <w:tcW w:w="7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30" w:lineRule="exact"/>
              <w:rPr>
                <w:sz w:val="20"/>
                <w:szCs w:val="20"/>
                <w:color w:val="auto"/>
              </w:rPr>
            </w:pPr>
            <w:r>
              <w:rPr>
                <w:rFonts w:ascii="Times New Roman" w:cs="Times New Roman" w:eastAsia="Times New Roman" w:hAnsi="Times New Roman"/>
                <w:sz w:val="13"/>
                <w:szCs w:val="13"/>
                <w:color w:val="0000FF"/>
              </w:rPr>
              <w:t>1,830</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23,867</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NVHI common stock.</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11, 2023, 1,156 restricted stock units vested and 410 shares of the Company's stock were withheld to satisfy tax withholding obligations. The closing price on April 11, 2023 of the Company's common stock on NASDAQ was $20.30 per share.</w:t>
      </w:r>
    </w:p>
    <w:p>
      <w:pPr>
        <w:spacing w:after="0" w:line="1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11, 2023, 1,830 restricted stock units vested and 648 shares of the Company's stock were withheld to satisfy tax withholding obligations. The closing price on April 11, 2023 of the Company's common stock on NASDAQ was $20.30 per share.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11, 2022, the reporting person was granted 2,312 restricted stock units, vesting in two equal installments beginning on the first anniversary of the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11, 2022, the reporting person was granted 5,491 restricted stock units, vesting in three equal installments beginning on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Jared Brandman,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04/13/2023</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2081"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2023-04-13T20:21:29Z</dcterms:created>
  <dcterms:modified xsi:type="dcterms:W3CDTF">2023-04-13T20:21:29Z</dcterms:modified>
</cp:coreProperties>
</file>