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15.74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49,510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1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sale reported in this Form 4 was effected pursuant to a Rule 10b5-1 trading plan established by the reporting person on June 2, 2021. This sale was the final transaction under this Rule 10b5-1 trading plan.</w:t>
      </w:r>
    </w:p>
    <w:p>
      <w:pPr>
        <w:spacing w:after="0" w:line="6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include 2,220 shares that were acquired pursuant to the Company's Associate Stock Purchase Plan, which acquisitions are exempt from Section 16.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Of the 49,510 stock options reported herein, 33,236 stock options are vested and the remaining 16,274 time-based stock options will vest on in equal installments on August 14, 2021 and August 14, 2022.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07/30/2021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2021-07-30T16:11:36Z</dcterms:created>
  <dcterms:modified xsi:type="dcterms:W3CDTF">2021-07-30T16:11:36Z</dcterms:modified>
</cp:coreProperties>
</file>