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5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October 6, 2022 (October 3, 2022)</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180"/>
          </w:cols>
          <w:pgMar w:left="320" w:top="1190" w:right="39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of Patrick Moore, the Company’s Chief Financial Officer, to the newly-created role of Chief Operating Officer, effective as of August 11, 2022 (the “Effective Date”), Mr. Moore will receive (i) an additional $15,000 cash stipend per month during his time as Chief Operating and Financial Officer effective as of the Effective Date until January 1, 2023 and (ii) a long-term incentive award under the Company’s 2017 Omnibus Incentive Plan consisting of restricted stock units valued at $300,000, which will vest over three years in equal annual installments on each anniversary of the grant date, subject to Mr. Moore’s continued service with the Company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2022</w:t>
            </w:r>
          </w:p>
        </w:tc>
        <w:tc>
          <w:tcPr>
            <w:tcW w:w="2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860" w:type="dxa"/>
            <w:vAlign w:val="bottom"/>
          </w:tcPr>
          <w:p>
            <w:pPr>
              <w:spacing w:after="0"/>
              <w:rPr>
                <w:sz w:val="18"/>
                <w:szCs w:val="18"/>
                <w:color w:val="auto"/>
              </w:rPr>
            </w:pPr>
          </w:p>
        </w:tc>
        <w:tc>
          <w:tcPr>
            <w:tcW w:w="2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860" w:type="dxa"/>
            <w:vAlign w:val="bottom"/>
          </w:tcPr>
          <w:p>
            <w:pPr>
              <w:spacing w:after="0"/>
              <w:rPr>
                <w:sz w:val="20"/>
                <w:szCs w:val="20"/>
                <w:color w:val="auto"/>
              </w:rPr>
            </w:pPr>
          </w:p>
        </w:tc>
        <w:tc>
          <w:tcPr>
            <w:tcW w:w="26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0960"/>
      </w:cols>
      <w:pgMar w:left="320" w:top="88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2022-10-06T13:07:34Z</dcterms:created>
  <dcterms:modified xsi:type="dcterms:W3CDTF">2022-10-06T13:07:34Z</dcterms:modified>
</cp:coreProperties>
</file>