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13-4064930</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4,553,311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4,806,964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41,990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4,848,954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National Vision Holdings Inc</w:t>
      </w:r>
    </w:p>
    <w:p>
      <w:pPr>
        <w:spacing w:after="0" w:line="101" w:lineRule="exact"/>
        <w:rPr>
          <w:rFonts w:ascii="Arial" w:cs="Arial" w:eastAsia="Arial" w:hAnsi="Arial"/>
          <w:sz w:val="22"/>
          <w:szCs w:val="22"/>
          <w:b w:val="1"/>
          <w:bCs w:val="1"/>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2435 COMMERCE AVENUE, BLDG. 2200, DULUTH, GA 30096-4980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40" w:right="4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6" w:lineRule="exact"/>
        <w:rPr>
          <w:rFonts w:ascii="Arial" w:cs="Arial" w:eastAsia="Arial" w:hAnsi="Arial"/>
          <w:sz w:val="19"/>
          <w:szCs w:val="19"/>
          <w:b w:val="1"/>
          <w:bCs w:val="1"/>
          <w:color w:val="auto"/>
        </w:rPr>
      </w:pPr>
    </w:p>
    <w:p>
      <w:pPr>
        <w:ind w:left="1540" w:right="220"/>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7" w:lineRule="exact"/>
        <w:rPr>
          <w:rFonts w:ascii="Arial" w:cs="Arial" w:eastAsia="Arial" w:hAnsi="Arial"/>
          <w:sz w:val="19"/>
          <w:szCs w:val="19"/>
          <w:b w:val="1"/>
          <w:bCs w:val="1"/>
          <w:color w:val="auto"/>
        </w:rPr>
      </w:pPr>
    </w:p>
    <w:p>
      <w:pPr>
        <w:ind w:left="1540" w:right="846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40" w:right="7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40" w:right="80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63845R107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60"/>
          </w:cols>
          <w:pgMar w:left="400" w:top="423" w:right="43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80"/>
            <w:col w:w="8700"/>
          </w:cols>
          <w:pgMar w:left="400" w:top="423" w:right="439" w:bottom="0" w:gutter="0" w:footer="0" w:header="0"/>
          <w:type w:val="continuous"/>
        </w:sectPr>
      </w:pPr>
    </w:p>
    <w:p>
      <w:pPr>
        <w:ind w:right="70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40" w:hanging="627"/>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740"/>
        <w:spacing w:after="0" w:line="250" w:lineRule="auto"/>
        <w:rPr>
          <w:rFonts w:ascii="Arial" w:cs="Arial" w:eastAsia="Arial" w:hAnsi="Arial"/>
          <w:sz w:val="22"/>
          <w:szCs w:val="22"/>
          <w:color w:val="auto"/>
        </w:rPr>
      </w:pPr>
      <w:r>
        <w:rPr>
          <w:rFonts w:ascii="Arial" w:cs="Arial" w:eastAsia="Arial" w:hAnsi="Arial"/>
          <w:sz w:val="22"/>
          <w:szCs w:val="22"/>
          <w:color w:val="auto"/>
        </w:rPr>
        <w:t>4,848,954 shares acquired solely for investment purposes on behalf of client discretionary investment advisory accounts.*</w:t>
      </w:r>
    </w:p>
    <w:p>
      <w:pPr>
        <w:spacing w:after="0" w:line="93" w:lineRule="exact"/>
        <w:rPr>
          <w:rFonts w:ascii="Arial" w:cs="Arial" w:eastAsia="Arial" w:hAnsi="Arial"/>
          <w:sz w:val="22"/>
          <w:szCs w:val="22"/>
          <w:color w:val="auto"/>
        </w:rPr>
      </w:pPr>
    </w:p>
    <w:p>
      <w:pPr>
        <w:ind w:left="1540" w:right="8040" w:hanging="627"/>
        <w:spacing w:after="0" w:line="358" w:lineRule="auto"/>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5.9%</w:t>
      </w:r>
    </w:p>
    <w:p>
      <w:pPr>
        <w:sectPr>
          <w:pgSz w:w="11900" w:h="16838" w:orient="portrait"/>
          <w:cols w:equalWidth="0" w:num="1">
            <w:col w:w="11060"/>
          </w:cols>
          <w:pgMar w:left="400" w:top="423"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6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60" w:right="78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4,553,311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4,806,964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41,990</w:t>
      </w:r>
    </w:p>
    <w:p>
      <w:pPr>
        <w:spacing w:after="0" w:line="246" w:lineRule="exact"/>
        <w:rPr>
          <w:sz w:val="20"/>
          <w:szCs w:val="20"/>
          <w:color w:val="auto"/>
        </w:rPr>
      </w:pPr>
    </w:p>
    <w:p>
      <w:pPr>
        <w:sectPr>
          <w:pgSz w:w="11900" w:h="16838" w:orient="portrait"/>
          <w:cols w:equalWidth="0" w:num="2">
            <w:col w:w="6540" w:space="280"/>
            <w:col w:w="4240"/>
          </w:cols>
          <w:pgMar w:left="400" w:top="423" w:right="439" w:bottom="0" w:gutter="0" w:footer="0" w:header="0"/>
          <w:type w:val="continuous"/>
        </w:sectPr>
      </w:pPr>
    </w:p>
    <w:p>
      <w:pPr>
        <w:spacing w:after="0"/>
        <w:rPr>
          <w:sz w:val="20"/>
          <w:szCs w:val="20"/>
          <w:color w:val="auto"/>
        </w:rPr>
      </w:pPr>
      <w:r>
        <w:rPr>
          <w:rFonts w:ascii="Arial" w:cs="Arial" w:eastAsia="Arial" w:hAnsi="Arial"/>
          <w:sz w:val="19"/>
          <w:szCs w:val="19"/>
          <w:color w:val="auto"/>
        </w:rPr>
        <w:t>*AllianceBernstein L.P. is a majority owned subsidiary of Equitable Holdings, Inc. ("EQH"). AllianceBernstein operates under</w:t>
      </w:r>
    </w:p>
    <w:p>
      <w:pPr>
        <w:sectPr>
          <w:pgSz w:w="11900" w:h="16838" w:orient="portrait"/>
          <w:cols w:equalWidth="0" w:num="1">
            <w:col w:w="11060"/>
          </w:cols>
          <w:pgMar w:left="400" w:top="423" w:right="439" w:bottom="0" w:gutter="0" w:footer="0" w:header="0"/>
          <w:type w:val="continuous"/>
        </w:sectPr>
      </w:pPr>
    </w:p>
    <w:bookmarkStart w:id="3" w:name="page4"/>
    <w:bookmarkEnd w:id="3"/>
    <w:p>
      <w:pPr>
        <w:jc w:val="both"/>
        <w:ind w:right="40"/>
        <w:spacing w:after="0"/>
        <w:rPr>
          <w:sz w:val="20"/>
          <w:szCs w:val="20"/>
          <w:color w:val="auto"/>
        </w:rPr>
      </w:pPr>
      <w:r>
        <w:rPr>
          <w:rFonts w:ascii="Arial" w:cs="Arial" w:eastAsia="Arial" w:hAnsi="Arial"/>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2022-02-14T16:16:03Z</dcterms:created>
  <dcterms:modified xsi:type="dcterms:W3CDTF">2022-02-14T16:16:03Z</dcterms:modified>
</cp:coreProperties>
</file>