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5730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73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566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FAHS L READE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7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30096-4980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03/06/2026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Executive Chairman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56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03/06/2026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54,824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726,900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03/06/2026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2"/>
              </w:rPr>
              <w:t>24,419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27.9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702,481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03/06/2026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1"/>
              </w:rPr>
              <w:t>7,601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29.58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694,880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03/06/2026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1"/>
              </w:rPr>
              <w:t>4,071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29.57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359,359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54,824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54,824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137,971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71,685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71,685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209,656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-2163445</wp:posOffset>
            </wp:positionV>
            <wp:extent cx="28575" cy="2169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69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converts into common stock on a one-for-one basis.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restricted stock units.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sale was effected pursuant to a Rule 10b5-1 trading plan established by the reporting person on December 4,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/>
        <w:spacing w:after="0" w:line="24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represents the weighted average sales price. The shares were sold in multiple transactions at prices ranging from $29.50 to $29.71. Upon request by the SEC staff, the issuer or a security holder of the issuer, the reporting person will provide full information regarding the number of shares sold at each separate price.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/>
        <w:spacing w:after="0" w:line="24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represents the weighted average sales price. The shares were sold in multiple transactions at prices ranging from $29.50 to $29.70. Upon request by the SEC staff, the issuer or a security holder of the issuer, the reporting person will provide full information regarding the number of shares sold at each separate price.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7, 2025, the reporting person was granted 164,474 restricted stock units, vesting in three equal installments beginning on the first anniversary of the grant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of these restricted stock units will vest on each anniversary of the grant date, March 6, 2026.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Jared Brandman, as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03/09/2026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56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1253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2026-03-09T15:27:54Z</dcterms:created>
  <dcterms:modified xsi:type="dcterms:W3CDTF">2026-03-09T15:27:54Z</dcterms:modified>
</cp:coreProperties>
</file>