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40" w:right="9280" w:firstLine="5"/>
        <w:spacing w:after="0" w:line="229" w:lineRule="exact"/>
        <w:tabs>
          <w:tab w:leader="none" w:pos="8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33"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66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gridSpan w:val="2"/>
          </w:tcPr>
          <w:p>
            <w:pPr>
              <w:ind w:left="4900"/>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William Blair Investment Management, LLC</w:t>
            </w:r>
          </w:p>
        </w:tc>
        <w:tc>
          <w:tcPr>
            <w:tcW w:w="1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7"/>
        </w:trPr>
        <w:tc>
          <w:tcPr>
            <w:tcW w:w="8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82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Borders>
              <w:bottom w:val="single" w:sz="8" w:color="auto"/>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9"/>
        </w:trPr>
        <w:tc>
          <w:tcPr>
            <w:tcW w:w="8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680" w:type="dxa"/>
            <w:vAlign w:val="bottom"/>
            <w:tcBorders>
              <w:bottom w:val="single" w:sz="8" w:color="auto"/>
            </w:tcBorders>
            <w:gridSpan w:val="2"/>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82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82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7,275,706</w:t>
            </w:r>
          </w:p>
        </w:tc>
        <w:tc>
          <w:tcPr>
            <w:tcW w:w="51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51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820" w:type="dxa"/>
            <w:vAlign w:val="bottom"/>
            <w:tcBorders>
              <w:lef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48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820" w:type="dxa"/>
            <w:vAlign w:val="bottom"/>
            <w:tcBorders>
              <w:left w:val="single" w:sz="8" w:color="auto"/>
            </w:tcBorders>
          </w:tcPr>
          <w:p>
            <w:pPr>
              <w:spacing w:after="0"/>
              <w:rPr>
                <w:sz w:val="14"/>
                <w:szCs w:val="14"/>
                <w:color w:val="auto"/>
              </w:rPr>
            </w:pPr>
          </w:p>
        </w:tc>
        <w:tc>
          <w:tcPr>
            <w:tcW w:w="100" w:type="dxa"/>
            <w:vAlign w:val="bottom"/>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2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8,660,721</w:t>
            </w:r>
          </w:p>
        </w:tc>
        <w:tc>
          <w:tcPr>
            <w:tcW w:w="510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51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20" w:type="dxa"/>
            <w:vAlign w:val="bottom"/>
            <w:tcBorders>
              <w:lef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4"/>
                <w:szCs w:val="24"/>
                <w:color w:val="auto"/>
              </w:rPr>
            </w:pPr>
          </w:p>
        </w:tc>
        <w:tc>
          <w:tcPr>
            <w:tcW w:w="9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8,660,721</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4"/>
                <w:szCs w:val="24"/>
                <w:color w:val="auto"/>
              </w:rPr>
            </w:pPr>
          </w:p>
        </w:tc>
        <w:tc>
          <w:tcPr>
            <w:tcW w:w="9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4"/>
                <w:szCs w:val="24"/>
                <w:color w:val="auto"/>
              </w:rPr>
            </w:pPr>
          </w:p>
        </w:tc>
        <w:tc>
          <w:tcPr>
            <w:tcW w:w="9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2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4"/>
                <w:szCs w:val="24"/>
                <w:color w:val="auto"/>
              </w:rPr>
            </w:pPr>
          </w:p>
        </w:tc>
        <w:tc>
          <w:tcPr>
            <w:tcW w:w="9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4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412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900"/>
              <w:spacing w:after="0"/>
              <w:rPr>
                <w:sz w:val="20"/>
                <w:szCs w:val="20"/>
                <w:color w:val="auto"/>
              </w:rPr>
            </w:pPr>
            <w:r>
              <w:rPr>
                <w:rFonts w:ascii="Times New Roman" w:cs="Times New Roman" w:eastAsia="Times New Roman" w:hAnsi="Times New Roman"/>
                <w:sz w:val="18"/>
                <w:szCs w:val="18"/>
                <w:color w:val="auto"/>
              </w:rPr>
              <w:t>Page 3</w:t>
            </w:r>
          </w:p>
        </w:tc>
      </w:tr>
      <w:tr>
        <w:trPr>
          <w:trHeight w:val="407"/>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2435 Commerce Avenue, Bldg. 2200, Duluth, GA 30096</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63845R107</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bl>
    <w:p>
      <w:pPr>
        <w:spacing w:after="0" w:line="169" w:lineRule="exact"/>
        <w:rPr>
          <w:sz w:val="20"/>
          <w:szCs w:val="20"/>
          <w:color w:val="auto"/>
        </w:rPr>
      </w:pPr>
    </w:p>
    <w:p>
      <w:pPr>
        <w:ind w:left="2280" w:hanging="516"/>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2280" w:hanging="521"/>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2280" w:hanging="516"/>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2280" w:hanging="521"/>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2280" w:hanging="516"/>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2280" w:hanging="506"/>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2280" w:hanging="521"/>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2280" w:hanging="521"/>
        <w:spacing w:after="0" w:line="207" w:lineRule="exact"/>
        <w:tabs>
          <w:tab w:leader="none" w:pos="228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sz w:val="20"/>
          <w:szCs w:val="20"/>
          <w:color w:val="auto"/>
        </w:rPr>
      </w:pPr>
    </w:p>
    <w:p>
      <w:pPr>
        <w:ind w:left="2700" w:hanging="921"/>
        <w:spacing w:after="0" w:line="239" w:lineRule="exact"/>
        <w:tabs>
          <w:tab w:leader="none" w:pos="2281"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62" w:lineRule="exact"/>
        <w:rPr>
          <w:rFonts w:ascii="Times New Roman" w:cs="Times New Roman" w:eastAsia="Times New Roman" w:hAnsi="Times New Roman"/>
          <w:sz w:val="18"/>
          <w:szCs w:val="18"/>
          <w:color w:val="auto"/>
        </w:rPr>
      </w:pPr>
    </w:p>
    <w:p>
      <w:pPr>
        <w:ind w:left="2280" w:hanging="501"/>
        <w:spacing w:after="0" w:line="207" w:lineRule="exact"/>
        <w:tabs>
          <w:tab w:leader="none" w:pos="22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sz w:val="20"/>
          <w:szCs w:val="20"/>
          <w:color w:val="auto"/>
        </w:rPr>
      </w:pPr>
    </w:p>
    <w:p>
      <w:pPr>
        <w:ind w:left="2280" w:hanging="521"/>
        <w:spacing w:after="0" w:line="207" w:lineRule="exact"/>
        <w:tabs>
          <w:tab w:leader="none" w:pos="22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64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412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900"/>
              <w:spacing w:after="0"/>
              <w:rPr>
                <w:sz w:val="20"/>
                <w:szCs w:val="20"/>
                <w:color w:val="auto"/>
              </w:rPr>
            </w:pPr>
            <w:r>
              <w:rPr>
                <w:rFonts w:ascii="Times New Roman" w:cs="Times New Roman" w:eastAsia="Times New Roman" w:hAnsi="Times New Roman"/>
                <w:sz w:val="18"/>
                <w:szCs w:val="18"/>
                <w:color w:val="auto"/>
              </w:rPr>
              <w:t>Page 4</w:t>
            </w:r>
          </w:p>
        </w:tc>
      </w:tr>
      <w:tr>
        <w:trPr>
          <w:trHeight w:val="407"/>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1640" w:type="dxa"/>
            <w:vAlign w:val="bottom"/>
          </w:tcPr>
          <w:p>
            <w:pPr>
              <w:spacing w:after="0"/>
              <w:rPr>
                <w:sz w:val="18"/>
                <w:szCs w:val="18"/>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Item 1.</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Amount beneficially owned: 8,660,721</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  Percent of class: 11.0%</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   Sole power to vote or to direct the vote: 7,275,706</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8,660,721</w:t>
            </w:r>
          </w:p>
        </w:tc>
      </w:tr>
      <w:tr>
        <w:trPr>
          <w:trHeight w:val="432"/>
        </w:trPr>
        <w:tc>
          <w:tcPr>
            <w:tcW w:w="1640" w:type="dxa"/>
            <w:vAlign w:val="bottom"/>
          </w:tcPr>
          <w:p>
            <w:pPr>
              <w:spacing w:after="0"/>
              <w:rPr>
                <w:sz w:val="24"/>
                <w:szCs w:val="24"/>
                <w:color w:val="auto"/>
              </w:rPr>
            </w:pPr>
          </w:p>
        </w:tc>
        <w:tc>
          <w:tcPr>
            <w:tcW w:w="96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7"/>
        </w:trPr>
        <w:tc>
          <w:tcPr>
            <w:tcW w:w="1640" w:type="dxa"/>
            <w:vAlign w:val="bottom"/>
          </w:tcPr>
          <w:p>
            <w:pPr>
              <w:spacing w:after="0"/>
              <w:rPr>
                <w:sz w:val="16"/>
                <w:szCs w:val="16"/>
                <w:color w:val="auto"/>
              </w:rPr>
            </w:pPr>
          </w:p>
        </w:tc>
        <w:tc>
          <w:tcPr>
            <w:tcW w:w="96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w:t>
            </w:r>
          </w:p>
        </w:tc>
      </w:tr>
      <w:tr>
        <w:trPr>
          <w:trHeight w:val="283"/>
        </w:trPr>
        <w:tc>
          <w:tcPr>
            <w:tcW w:w="1640" w:type="dxa"/>
            <w:vAlign w:val="bottom"/>
          </w:tcPr>
          <w:p>
            <w:pPr>
              <w:spacing w:after="0"/>
              <w:rPr>
                <w:sz w:val="24"/>
                <w:szCs w:val="24"/>
                <w:color w:val="auto"/>
              </w:rPr>
            </w:pPr>
          </w:p>
        </w:tc>
        <w:tc>
          <w:tcPr>
            <w:tcW w:w="960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of more than 5 percent of the class of securities, check the following. </w:t>
            </w:r>
            <w:r>
              <w:rPr>
                <w:rFonts w:ascii="MS PGothic" w:cs="MS PGothic" w:eastAsia="MS PGothic" w:hAnsi="MS PGothic"/>
                <w:sz w:val="18"/>
                <w:szCs w:val="18"/>
                <w:color w:val="auto"/>
              </w:rPr>
              <w:t>☐</w:t>
            </w:r>
          </w:p>
        </w:tc>
      </w:tr>
      <w:tr>
        <w:trPr>
          <w:trHeight w:val="39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41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1640" w:type="dxa"/>
            <w:vAlign w:val="bottom"/>
          </w:tcPr>
          <w:p>
            <w:pPr>
              <w:spacing w:after="0"/>
              <w:rPr>
                <w:sz w:val="19"/>
                <w:szCs w:val="19"/>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1640" w:type="dxa"/>
            <w:vAlign w:val="bottom"/>
          </w:tcPr>
          <w:p>
            <w:pPr>
              <w:spacing w:after="0"/>
              <w:rPr>
                <w:sz w:val="18"/>
                <w:szCs w:val="18"/>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w:t>
            </w:r>
          </w:p>
        </w:tc>
      </w:tr>
      <w:tr>
        <w:trPr>
          <w:trHeight w:val="216"/>
        </w:trPr>
        <w:tc>
          <w:tcPr>
            <w:tcW w:w="1640" w:type="dxa"/>
            <w:vAlign w:val="bottom"/>
          </w:tcPr>
          <w:p>
            <w:pPr>
              <w:spacing w:after="0"/>
              <w:rPr>
                <w:sz w:val="18"/>
                <w:szCs w:val="18"/>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the ordinary course of business and were not acquired and are not held for the purpose of or with the effect of changing or</w:t>
            </w:r>
          </w:p>
        </w:tc>
      </w:tr>
      <w:tr>
        <w:trPr>
          <w:trHeight w:val="216"/>
        </w:trPr>
        <w:tc>
          <w:tcPr>
            <w:tcW w:w="1640" w:type="dxa"/>
            <w:vAlign w:val="bottom"/>
          </w:tcPr>
          <w:p>
            <w:pPr>
              <w:spacing w:after="0"/>
              <w:rPr>
                <w:sz w:val="18"/>
                <w:szCs w:val="18"/>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influencing the control of the issuer of the securities and were not acquired and are not held in connection with or as a participant in</w:t>
            </w:r>
          </w:p>
        </w:tc>
      </w:tr>
      <w:tr>
        <w:trPr>
          <w:trHeight w:val="234"/>
        </w:trPr>
        <w:tc>
          <w:tcPr>
            <w:tcW w:w="1640" w:type="dxa"/>
            <w:vAlign w:val="bottom"/>
          </w:tcPr>
          <w:p>
            <w:pPr>
              <w:spacing w:after="0"/>
              <w:rPr>
                <w:sz w:val="20"/>
                <w:szCs w:val="20"/>
                <w:color w:val="auto"/>
              </w:rPr>
            </w:pP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any transaction having that purpose or effect.</w:t>
            </w:r>
          </w:p>
        </w:tc>
      </w:tr>
      <w:tr>
        <w:trPr>
          <w:trHeight w:val="675"/>
        </w:trPr>
        <w:tc>
          <w:tcPr>
            <w:tcW w:w="16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480" w:type="dxa"/>
            <w:vAlign w:val="bottom"/>
            <w:tcBorders>
              <w:top w:val="single" w:sz="8" w:color="auto"/>
              <w:bottom w:val="single" w:sz="8" w:color="auto"/>
              <w:right w:val="single" w:sz="8" w:color="auto"/>
            </w:tcBorders>
          </w:tcPr>
          <w:p>
            <w:pPr>
              <w:ind w:left="490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Stephanie Braming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Stephanie Braming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Global Head of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2023-04-05T08:57:10Z</dcterms:created>
  <dcterms:modified xsi:type="dcterms:W3CDTF">2023-04-05T08:57:10Z</dcterms:modified>
</cp:coreProperties>
</file>