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Earliest Event report):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August 14, 2018</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380"/>
          </w:cols>
          <w:pgMar w:left="240" w:top="1075" w:right="279" w:bottom="1440" w:gutter="0" w:footer="0" w:header="0"/>
        </w:sectPr>
      </w:pPr>
    </w:p>
    <w:p>
      <w:pPr>
        <w:spacing w:after="0" w:line="15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06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60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if changed since last report)</w:t>
      </w:r>
    </w:p>
    <w:p>
      <w:pPr>
        <w:spacing w:after="0" w:line="119" w:lineRule="exact"/>
        <w:rPr>
          <w:sz w:val="24"/>
          <w:szCs w:val="24"/>
          <w:color w:val="auto"/>
        </w:rPr>
      </w:pPr>
    </w:p>
    <w:p>
      <w:pPr>
        <w:sectPr>
          <w:pgSz w:w="11900" w:h="16838" w:orient="portrait"/>
          <w:cols w:equalWidth="0" w:num="2">
            <w:col w:w="6580" w:space="720"/>
            <w:col w:w="4080"/>
          </w:cols>
          <w:pgMar w:left="240" w:top="1075" w:right="27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7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2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6"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380"/>
          </w:cols>
          <w:pgMar w:left="240" w:top="1075"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2018, National Vision Holdings, Inc. (“National Vision”) issued a press release announcing financial results for the quarter ended June 30, 2018. A copy of the release is furnished herewith as Exhibit 99.1 and incorporated by reference herein.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5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100" w:type="dxa"/>
            <w:vAlign w:val="bottom"/>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15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49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89"/>
              </w:rPr>
              <w:t>National Vision Holdings, Inc. Press Release dated August 14, 2018.</w:t>
            </w:r>
          </w:p>
        </w:tc>
      </w:tr>
    </w:tbl>
    <w:p>
      <w:pPr>
        <w:sectPr>
          <w:pgSz w:w="11900" w:h="16838" w:orient="portrait"/>
          <w:cols w:equalWidth="0" w:num="1">
            <w:col w:w="10159"/>
          </w:cols>
          <w:pgMar w:left="300" w:top="580" w:right="1440"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3060" w:type="dxa"/>
            <w:vAlign w:val="bottom"/>
          </w:tcPr>
          <w:p>
            <w:pPr>
              <w:spacing w:after="0"/>
              <w:rPr>
                <w:sz w:val="20"/>
                <w:szCs w:val="20"/>
                <w:color w:val="auto"/>
              </w:rPr>
            </w:pPr>
            <w:r>
              <w:rPr>
                <w:rFonts w:ascii="Arial" w:cs="Arial" w:eastAsia="Arial" w:hAnsi="Arial"/>
                <w:sz w:val="18"/>
                <w:szCs w:val="18"/>
                <w:color w:val="auto"/>
              </w:rPr>
              <w:t>Date: August 14, 2018</w:t>
            </w:r>
          </w:p>
        </w:tc>
        <w:tc>
          <w:tcPr>
            <w:tcW w:w="2780" w:type="dxa"/>
            <w:vAlign w:val="bottom"/>
          </w:tcPr>
          <w:p>
            <w:pPr>
              <w:ind w:left="1440"/>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Patrick R. Moore</w:t>
            </w:r>
          </w:p>
        </w:tc>
      </w:tr>
      <w:tr>
        <w:trPr>
          <w:trHeight w:val="27"/>
        </w:trPr>
        <w:tc>
          <w:tcPr>
            <w:tcW w:w="30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2780" w:type="dxa"/>
            <w:vAlign w:val="bottom"/>
          </w:tcPr>
          <w:p>
            <w:pPr>
              <w:ind w:left="1440"/>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Patrick R. Moore</w:t>
            </w:r>
          </w:p>
        </w:tc>
      </w:tr>
      <w:tr>
        <w:trPr>
          <w:trHeight w:val="270"/>
        </w:trPr>
        <w:tc>
          <w:tcPr>
            <w:tcW w:w="3060" w:type="dxa"/>
            <w:vAlign w:val="bottom"/>
          </w:tcPr>
          <w:p>
            <w:pPr>
              <w:spacing w:after="0"/>
              <w:rPr>
                <w:sz w:val="23"/>
                <w:szCs w:val="23"/>
                <w:color w:val="auto"/>
              </w:rPr>
            </w:pPr>
          </w:p>
        </w:tc>
        <w:tc>
          <w:tcPr>
            <w:tcW w:w="2780" w:type="dxa"/>
            <w:vAlign w:val="bottom"/>
          </w:tcPr>
          <w:p>
            <w:pPr>
              <w:ind w:left="1440"/>
              <w:spacing w:after="0"/>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w:t>
            </w:r>
          </w:p>
        </w:tc>
      </w:tr>
    </w:tbl>
    <w:p>
      <w:pPr>
        <w:sectPr>
          <w:pgSz w:w="11900" w:h="16838" w:orient="portrait"/>
          <w:cols w:equalWidth="0" w:num="1">
            <w:col w:w="11320"/>
          </w:cols>
          <w:pgMar w:left="240" w:top="58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69010"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969010" cy="75438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left="260" w:right="240"/>
        <w:spacing w:after="0" w:line="282" w:lineRule="auto"/>
        <w:rPr>
          <w:sz w:val="20"/>
          <w:szCs w:val="20"/>
          <w:color w:val="auto"/>
        </w:rPr>
      </w:pPr>
      <w:r>
        <w:rPr>
          <w:rFonts w:ascii="Arial" w:cs="Arial" w:eastAsia="Arial" w:hAnsi="Arial"/>
          <w:sz w:val="25"/>
          <w:szCs w:val="25"/>
          <w:b w:val="1"/>
          <w:bCs w:val="1"/>
          <w:color w:val="auto"/>
        </w:rPr>
        <w:t>National Vision Holdings, Inc. Reports Second Quarter 2018 Financial Results; Reaffirms Fiscal 2018 Outlook</w:t>
      </w:r>
    </w:p>
    <w:p>
      <w:pPr>
        <w:spacing w:after="0" w:line="35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14.2% to $385.5 million</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10.4%; Adjusted comparable store sales growth of 8.8%</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66th consecutive quarter of positive comparable store sales growth</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of $13.1 million; Adjusted net income increased 131.8% to $16.2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increased 18.2% to $46.8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Diluted EPS of $0.17; Adjusted diluted EPS increased 68.0% to $0.21</w:t>
      </w:r>
    </w:p>
    <w:p>
      <w:pPr>
        <w:spacing w:after="0" w:line="200" w:lineRule="exact"/>
        <w:rPr>
          <w:sz w:val="20"/>
          <w:szCs w:val="20"/>
          <w:color w:val="auto"/>
        </w:rPr>
      </w:pPr>
    </w:p>
    <w:p>
      <w:pPr>
        <w:spacing w:after="0" w:line="30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August 14, 2018 </w:t>
      </w:r>
      <w:r>
        <w:rPr>
          <w:rFonts w:ascii="Arial" w:cs="Arial" w:eastAsia="Arial" w:hAnsi="Arial"/>
          <w:sz w:val="18"/>
          <w:szCs w:val="18"/>
          <w:color w:val="auto"/>
        </w:rPr>
        <w:t>-- National Vision Holdings, Inc. (NASDAQ: EYE) (“National Vision” or the “Company”) today reported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second quarter and six months ended June 30, 2018.</w:t>
      </w:r>
    </w:p>
    <w:p>
      <w:pPr>
        <w:spacing w:after="0" w:line="1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Reade Fahs, chief executive officer, stated, “We are pleased with our second quarter and year-to-date results, which demonstrate the resiliency and consistency of our business model. Our team delivered its 66th consecutive quarter of positive comparable store sales growth, driven primarily by customer transactions. We experienced an acceleration in customer traffic into the second quarter that benefited from an extended peak selling season. We opened 25 stores this quarter, and remain on track for our 2018 store opening plans. Our optometrists and associates work hard every day to make quality eye exams and eyewear more affordable for our patients and customers. As we move into the second half of the year, we are reaffirming the 2018 financial targets that we established in March.”</w:t>
      </w:r>
    </w:p>
    <w:p>
      <w:pPr>
        <w:spacing w:after="0" w:line="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Adjusted comparable store sales growth, adjusted diluted EPS, adjusted EBITDA, adjusted EBITDA margin, adjusted net income and EBITDA are not measures recognized under generally accepted accounting principles (</w:t>
      </w: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w:t>
      </w:r>
      <w:r>
        <w:rPr>
          <w:rFonts w:ascii="Arial" w:cs="Arial" w:eastAsia="Arial" w:hAnsi="Arial"/>
          <w:sz w:val="18"/>
          <w:szCs w:val="18"/>
          <w:i w:val="1"/>
          <w:iCs w:val="1"/>
          <w:color w:val="auto"/>
        </w:rPr>
        <w:t xml:space="preserve">). Please see </w:t>
      </w:r>
      <w:r>
        <w:rPr>
          <w:rFonts w:ascii="Arial" w:cs="Arial" w:eastAsia="Arial" w:hAnsi="Arial"/>
          <w:sz w:val="18"/>
          <w:szCs w:val="18"/>
          <w:color w:val="auto"/>
        </w:rPr>
        <w:t>“</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below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Highlights</w:t>
      </w:r>
    </w:p>
    <w:p>
      <w:pPr>
        <w:spacing w:after="0" w:line="27" w:lineRule="exact"/>
        <w:rPr>
          <w:sz w:val="20"/>
          <w:szCs w:val="20"/>
          <w:color w:val="auto"/>
        </w:rPr>
      </w:pPr>
    </w:p>
    <w:p>
      <w:pPr>
        <w:ind w:left="340" w:right="42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increased 14.2% to $385.5 million from $337.5 million for the second quarter of 2017. Net revenue growth was positively impacted by approximately 100 basis points by the timing of unearned revenue.</w:t>
      </w: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growth of 10.4% and adjusted comparable store sales growth of 8.8% were primarily driven by increases in customer transactions and, to a lesser extent, average ticket.</w:t>
      </w:r>
    </w:p>
    <w:p>
      <w:pPr>
        <w:ind w:left="340" w:right="38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opened 25 new stores, closed two stores and ended the quarter with 1,050 stores. Overall, store count grew 7.1% from July 1, 2017 to June 30, 2018.</w:t>
      </w:r>
    </w:p>
    <w:p>
      <w:pPr>
        <w:ind w:left="340" w:right="1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result of changes in California law, in the third quarter of 2017, the Legacy segment began providing eye examination services that previously had been provided by FirstSight Vision Services, Inc. (“FirstSight”), the Company's HMO subsidiary, increasing Legacy comparable store sales growth by 195 basis points in the second quarter. Also, in the fourth quarter of 2017, FirstSight ceased the sale of vision care products in Walmart locations that were not operated by the Company, reducing its net revenue and associated costs by approximately $1.8 million, with an immaterial impact on income from operations.</w:t>
      </w:r>
    </w:p>
    <w:p>
      <w:pPr>
        <w:spacing w:after="0" w:line="2"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applicable to revenue increased 13.2% to $177.1 million from $156.4 million for the second quarter of 2017. As a percentage of net revenue, costs applicable to revenue decreased 40 basis points to 45.9% from 46.3% for the second quarter of 2017. This decrease as a percentage of net revenue was primarily driven by a higher mix of eye exam sales as a result of our growing managed care business and an increased eyeglass sales mix, partially offset by higher optometrist costs.</w:t>
      </w:r>
    </w:p>
    <w:p>
      <w:pPr>
        <w:spacing w:after="0" w:line="1" w:lineRule="exact"/>
        <w:rPr>
          <w:rFonts w:ascii="Arial" w:cs="Arial" w:eastAsia="Arial" w:hAnsi="Arial"/>
          <w:sz w:val="18"/>
          <w:szCs w:val="18"/>
          <w:color w:val="auto"/>
        </w:rPr>
      </w:pPr>
    </w:p>
    <w:p>
      <w:pPr>
        <w:ind w:left="340" w:right="26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Selling, general and administrative expenses (“SG&amp;A”) increased 14.1% to $165.0 million from $144.7 million for the second quarter of 2017. As a percentage of net revenue, SG&amp;A decreased 10 basis points to 42.8% from 42.9% for the second quarter of 2017. This decrease as a percentage of net revenue was primarily driven by store payroll, partially offset by advertising expenses.</w:t>
      </w:r>
    </w:p>
    <w:p>
      <w:pPr>
        <w:sectPr>
          <w:pgSz w:w="11900" w:h="16838" w:orient="portrait"/>
          <w:cols w:equalWidth="0" w:num="1">
            <w:col w:w="11400"/>
          </w:cols>
          <w:pgMar w:left="240" w:top="1440" w:right="259" w:bottom="1440" w:gutter="0" w:footer="0" w:header="0"/>
        </w:sectPr>
      </w:pPr>
    </w:p>
    <w:bookmarkStart w:id="5" w:name="page6"/>
    <w:bookmarkEnd w:id="5"/>
    <w:p>
      <w:pPr>
        <w:jc w:val="both"/>
        <w:ind w:left="340" w:right="380" w:hanging="332"/>
        <w:spacing w:after="0" w:line="25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Depreciation and amortization expense increased 18.6% to $17.3 million from $14.6 million for the second quarter of 2017, primarily driven by new store openings, as well as investments in optical laboratories, distribution centers and information technology infrastructure, including omni-channel platform related investments.</w:t>
      </w:r>
    </w:p>
    <w:p>
      <w:pPr>
        <w:ind w:left="340" w:right="40" w:hanging="332"/>
        <w:spacing w:after="0" w:line="28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Interest expense, net, decreased $5.2 million compared to the second quarter of 2017, primarily driven by a $4.5 million decrease resulting from the payoff of the $125.0 million in second lien term loans and $235.0 million in outstanding amount of first lien term loans during the fourth quarter of 2017.</w:t>
      </w:r>
    </w:p>
    <w:p>
      <w:pPr>
        <w:spacing w:after="0" w:line="1" w:lineRule="exact"/>
        <w:rPr>
          <w:rFonts w:ascii="Arial" w:cs="Arial" w:eastAsia="Arial" w:hAnsi="Arial"/>
          <w:sz w:val="16"/>
          <w:szCs w:val="16"/>
          <w:color w:val="auto"/>
        </w:rPr>
      </w:pPr>
    </w:p>
    <w:p>
      <w:pPr>
        <w:ind w:left="340" w:right="1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tax rate was 20.1% for the second quarter of 2018, which reflects the reduced federal statutory rate as part of the Tax Cuts and Jobs Act of 2017 as well as an 8.4% reduction due to a $1.4 million income tax benefit resulting from stock option exercises.</w:t>
      </w:r>
    </w:p>
    <w:p>
      <w:pPr>
        <w:ind w:left="340" w:right="80" w:hanging="332"/>
        <w:spacing w:after="0" w:line="28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income was $13.1 million compared to a net loss of $1.5 million for the second quarter of 2017. Net margin increased 380 basis points to 3.4% from a 0.4% decline for the second quarter of 2017. Diluted EPS was $0.17 compared to $0.03 loss per share for the second quarter of 2017.</w:t>
      </w:r>
    </w:p>
    <w:p>
      <w:pPr>
        <w:spacing w:after="0" w:line="1" w:lineRule="exact"/>
        <w:rPr>
          <w:rFonts w:ascii="Arial" w:cs="Arial" w:eastAsia="Arial" w:hAnsi="Arial"/>
          <w:sz w:val="16"/>
          <w:szCs w:val="16"/>
          <w:color w:val="auto"/>
        </w:rPr>
      </w:pPr>
    </w:p>
    <w:p>
      <w:pPr>
        <w:ind w:left="340" w:right="1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net income increased 131.8% to $16.2 million compared to $7.0 million for the second quarter of 2017. Adjusted diluted EPS increased 68.0% to $0.21 per diluted share compared to $0.12 per diluted share for the second quarter of 2017.</w:t>
      </w:r>
    </w:p>
    <w:p>
      <w:pPr>
        <w:ind w:left="340" w:right="100" w:hanging="332"/>
        <w:spacing w:after="0" w:line="255"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increased 18.2% to $46.8 million compared to $39.6 million for the second quarter of 2017. Adjusted EBITDA growth benefited 630 basis points from the net change in margin on unearned revenue. Adjusted EBITDA margin increased 40 basis points to 12.1% from 11.7% for the second quarter of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Period Highlights</w:t>
      </w:r>
    </w:p>
    <w:p>
      <w:pPr>
        <w:spacing w:after="0" w:line="2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increased 12.2% to $793.5 million from $707.4 million for the same period of 2017.</w:t>
      </w:r>
    </w:p>
    <w:p>
      <w:pPr>
        <w:spacing w:after="0" w:line="9"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growth of 7.5% and adjusted comparable store sales growth of 6.5% were primarily driven by increases in customer transactions and, to a lesser extent, average ticket.</w:t>
      </w:r>
    </w:p>
    <w:p>
      <w:pPr>
        <w:ind w:left="340" w:right="36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opened 40 new stores, closed three stores and ended the period with 1,050 stores. Overall, store count grew 7.1% from July 1, 2017 to June 30, 2018.</w:t>
      </w:r>
    </w:p>
    <w:p>
      <w:pPr>
        <w:ind w:left="340" w:right="1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changes in California law, in the third quarter of 2017, the Legacy segment began providing eye examination services that previously had been provided by FirstSight, increasing Legacy comparable store sales growth by 200 basis points. Also, in the fourth quarter of 2017, FirstSight ceased the sale of vision care products in Walmart locations that are not operated by the Company, reducing its net revenue and associated costs by approximately $3.6 million, with an immaterial impact on income from operations.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applicable to revenue increased 11.0% to $357.5 million from $322.2 million for the same period of 2017. As a percentage of net revenue, costs applicable to revenue decreased 40 basis points to 45.1% from 45.5% for the same period of 2017. This decrease as a percentage of net revenue was primarily driven by a higher mix of exam sales as a result of the growing managed care business and a $2.3 million inventory write-off in the same period of 2017, partially offset by higher optometrist costs.</w:t>
      </w:r>
    </w:p>
    <w:p>
      <w:pPr>
        <w:spacing w:after="0" w:line="1" w:lineRule="exact"/>
        <w:rPr>
          <w:rFonts w:ascii="Arial" w:cs="Arial" w:eastAsia="Arial" w:hAnsi="Arial"/>
          <w:sz w:val="18"/>
          <w:szCs w:val="18"/>
          <w:color w:val="auto"/>
        </w:rPr>
      </w:pPr>
    </w:p>
    <w:p>
      <w:pPr>
        <w:ind w:left="340" w:right="26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SG&amp;A increased 13.8% to $335.1 million from $294.5 million for the same period of 2017. As a percentage of net revenue, SG&amp;A increased 60 basis points to 42.2% from 41.6% for the same period of 2017. This increase as a percentage of net revenue was primarily driven by advertising expenses.</w:t>
      </w:r>
    </w:p>
    <w:p>
      <w:pPr>
        <w:spacing w:after="0" w:line="1" w:lineRule="exact"/>
        <w:rPr>
          <w:rFonts w:ascii="Arial" w:cs="Arial" w:eastAsia="Arial" w:hAnsi="Arial"/>
          <w:sz w:val="16"/>
          <w:szCs w:val="16"/>
          <w:color w:val="auto"/>
        </w:rPr>
      </w:pPr>
    </w:p>
    <w:p>
      <w:pPr>
        <w:jc w:val="both"/>
        <w:ind w:left="340" w:right="1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and amortization expense increased 20.5% to $35.0 million from $29.1 million for the same period of 2017, primarily driven by new store openings, as well as investments in optical laboratories, distribution centers and information technology infrastructure, including omni-channel platform related investments.</w:t>
      </w:r>
    </w:p>
    <w:p>
      <w:pPr>
        <w:spacing w:after="0" w:line="1" w:lineRule="exact"/>
        <w:rPr>
          <w:rFonts w:ascii="Arial" w:cs="Arial" w:eastAsia="Arial" w:hAnsi="Arial"/>
          <w:sz w:val="18"/>
          <w:szCs w:val="18"/>
          <w:color w:val="auto"/>
        </w:rPr>
      </w:pPr>
    </w:p>
    <w:p>
      <w:pPr>
        <w:ind w:left="340" w:right="120" w:hanging="332"/>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Interest expense, net, decreased $7.4 million compared to the same period of 2017, primarily driven by a $8.9 million decrease resulting from the payoff of the $125.0 million in second lien term loans and $235.0 million in outstanding amount of first lien term loans during the fourth quarter of fiscal year 2017, partially offset by approximately $2.2 million in interest paid to counterparties associated with the Company's derivative cash flow hedges.</w:t>
      </w:r>
    </w:p>
    <w:p>
      <w:pPr>
        <w:spacing w:after="0" w:line="2" w:lineRule="exact"/>
        <w:rPr>
          <w:rFonts w:ascii="Arial" w:cs="Arial" w:eastAsia="Arial" w:hAnsi="Arial"/>
          <w:sz w:val="16"/>
          <w:szCs w:val="16"/>
          <w:color w:val="auto"/>
        </w:rPr>
      </w:pPr>
    </w:p>
    <w:p>
      <w:pPr>
        <w:ind w:left="340" w:right="8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 tax rate was 18.4% compared to 36.9% for the same period of 2017. The decrease in the effective tax rate was primarily due to the reduced federal statutory rate as part of the Tax Cuts and Jobs Act of 2017 as well as an 8.7% reduction due to a $4.1 million income tax benefit resulting from stock option exercises.</w:t>
      </w:r>
    </w:p>
    <w:p>
      <w:pPr>
        <w:spacing w:after="0" w:line="1"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was $38.1 million compared to $15.6 million for the same period of 2017. Net margin increased 260 basis points to 4.8% from 2.2% for the same period of 2017. Diluted EPS was $0.49 compared to $0.27 for the same period of 2017.</w:t>
      </w:r>
    </w:p>
    <w:p>
      <w:pPr>
        <w:ind w:left="340" w:right="20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net income increased 42.3% to $43.0 million compared to $30.2 million for the same period of 2017. Adjusted diluted EPS increased 6.6% to $0.55 per diluted share compared to $0.52 per diluted share for the same period of 2017.</w:t>
      </w:r>
    </w:p>
    <w:p>
      <w:pPr>
        <w:ind w:left="340" w:right="2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increased 9.5% to $107.9 million compared to $98.5 million for the same period of 2017. Adjusted EBITDA margin declined 30 basis points to 13.6% from 13.9% for the same period of 2017. The decline in adjusted EBITDA margin was primarily due to higher optometrist costs, advertising, and public company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 as of June 30, 2018</w:t>
      </w:r>
    </w:p>
    <w:p>
      <w:pPr>
        <w:spacing w:after="0" w:line="27" w:lineRule="exact"/>
        <w:rPr>
          <w:sz w:val="20"/>
          <w:szCs w:val="20"/>
          <w:color w:val="auto"/>
        </w:rPr>
      </w:pPr>
    </w:p>
    <w:p>
      <w:pPr>
        <w:ind w:left="340" w:right="22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cash balance was $34.6 million as of June 30, 2018. The Company had no borrowings under its $100 million first lien revolving credit facility, exclusive of letters of credit of $5.5 million.</w:t>
      </w:r>
    </w:p>
    <w:p>
      <w:pPr>
        <w:sectPr>
          <w:pgSz w:w="11900" w:h="16838" w:orient="portrait"/>
          <w:cols w:equalWidth="0" w:num="1">
            <w:col w:w="11420"/>
          </w:cols>
          <w:pgMar w:left="240" w:top="584" w:right="239" w:bottom="1440" w:gutter="0" w:footer="0" w:header="0"/>
        </w:sectPr>
      </w:pPr>
    </w:p>
    <w:bookmarkStart w:id="6" w:name="page7"/>
    <w:bookmarkEnd w:id="6"/>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debt was $574.3 million as of June 30, 2018, consisting of outstanding first lien term loans and capital lease obligations.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Cash flows from operating activities for the first six months of 2018 were $80.1 million compared to $67.9 million for the same period of 2017.</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for the first six months of 2018 totaled $48.7 million compared to $44.2 million for the same period of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reaffirms its outlook for the fiscal year ending December 29, 2018, as follows:</w:t>
      </w:r>
    </w:p>
    <w:p>
      <w:pPr>
        <w:spacing w:after="0" w:line="369" w:lineRule="exact"/>
        <w:rPr>
          <w:sz w:val="20"/>
          <w:szCs w:val="20"/>
          <w:color w:val="auto"/>
        </w:rPr>
      </w:pPr>
    </w:p>
    <w:tbl>
      <w:tblPr>
        <w:tblLayout w:type="fixed"/>
        <w:tblInd w:w="280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Fiscal 2018 Outlook</w:t>
            </w:r>
          </w:p>
        </w:tc>
      </w:tr>
      <w:tr>
        <w:trPr>
          <w:trHeight w:val="27"/>
        </w:trPr>
        <w:tc>
          <w:tcPr>
            <w:tcW w:w="3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jc w:val="center"/>
              <w:ind w:right="30"/>
              <w:spacing w:after="0"/>
              <w:rPr>
                <w:sz w:val="20"/>
                <w:szCs w:val="20"/>
                <w:color w:val="auto"/>
              </w:rPr>
            </w:pPr>
            <w:r>
              <w:rPr>
                <w:rFonts w:ascii="Arial" w:cs="Arial" w:eastAsia="Arial" w:hAnsi="Arial"/>
                <w:sz w:val="18"/>
                <w:szCs w:val="18"/>
                <w:color w:val="auto"/>
                <w:w w:val="90"/>
              </w:rPr>
              <w:t>New Stores</w:t>
            </w:r>
          </w:p>
        </w:tc>
        <w:tc>
          <w:tcPr>
            <w:tcW w:w="1040" w:type="dxa"/>
            <w:vAlign w:val="bottom"/>
          </w:tcPr>
          <w:p>
            <w:pPr>
              <w:spacing w:after="0"/>
              <w:rPr>
                <w:sz w:val="20"/>
                <w:szCs w:val="20"/>
                <w:color w:val="auto"/>
              </w:rPr>
            </w:pPr>
          </w:p>
        </w:tc>
        <w:tc>
          <w:tcPr>
            <w:tcW w:w="1740" w:type="dxa"/>
            <w:vAlign w:val="bottom"/>
          </w:tcPr>
          <w:p>
            <w:pPr>
              <w:jc w:val="center"/>
              <w:ind w:right="970"/>
              <w:spacing w:after="0"/>
              <w:rPr>
                <w:sz w:val="20"/>
                <w:szCs w:val="20"/>
                <w:color w:val="auto"/>
              </w:rPr>
            </w:pPr>
            <w:r>
              <w:rPr>
                <w:rFonts w:ascii="Arial" w:cs="Arial" w:eastAsia="Arial" w:hAnsi="Arial"/>
                <w:sz w:val="18"/>
                <w:szCs w:val="18"/>
                <w:color w:val="auto"/>
                <w:w w:val="91"/>
              </w:rPr>
              <w:t>~75</w:t>
            </w:r>
          </w:p>
        </w:tc>
      </w:tr>
      <w:tr>
        <w:trPr>
          <w:trHeight w:val="270"/>
        </w:trPr>
        <w:tc>
          <w:tcPr>
            <w:tcW w:w="3160" w:type="dxa"/>
            <w:vAlign w:val="bottom"/>
          </w:tcPr>
          <w:p>
            <w:pPr>
              <w:jc w:val="center"/>
              <w:ind w:right="50"/>
              <w:spacing w:after="0"/>
              <w:rPr>
                <w:sz w:val="20"/>
                <w:szCs w:val="20"/>
                <w:color w:val="auto"/>
              </w:rPr>
            </w:pPr>
            <w:r>
              <w:rPr>
                <w:rFonts w:ascii="Arial" w:cs="Arial" w:eastAsia="Arial" w:hAnsi="Arial"/>
                <w:sz w:val="18"/>
                <w:szCs w:val="18"/>
                <w:color w:val="auto"/>
                <w:w w:val="90"/>
              </w:rPr>
              <w:t>Adjusted Comparable Store Sales Growth</w:t>
            </w:r>
          </w:p>
        </w:tc>
        <w:tc>
          <w:tcPr>
            <w:tcW w:w="1040" w:type="dxa"/>
            <w:vAlign w:val="bottom"/>
          </w:tcPr>
          <w:p>
            <w:pPr>
              <w:spacing w:after="0"/>
              <w:rPr>
                <w:sz w:val="23"/>
                <w:szCs w:val="23"/>
                <w:color w:val="auto"/>
              </w:rPr>
            </w:pPr>
          </w:p>
        </w:tc>
        <w:tc>
          <w:tcPr>
            <w:tcW w:w="1740" w:type="dxa"/>
            <w:vAlign w:val="bottom"/>
          </w:tcPr>
          <w:p>
            <w:pPr>
              <w:jc w:val="center"/>
              <w:ind w:right="970"/>
              <w:spacing w:after="0"/>
              <w:rPr>
                <w:sz w:val="20"/>
                <w:szCs w:val="20"/>
                <w:color w:val="auto"/>
              </w:rPr>
            </w:pPr>
            <w:r>
              <w:rPr>
                <w:rFonts w:ascii="Arial" w:cs="Arial" w:eastAsia="Arial" w:hAnsi="Arial"/>
                <w:sz w:val="18"/>
                <w:szCs w:val="18"/>
                <w:color w:val="auto"/>
                <w:w w:val="92"/>
              </w:rPr>
              <w:t>3 - 5%</w:t>
            </w:r>
          </w:p>
        </w:tc>
      </w:tr>
      <w:tr>
        <w:trPr>
          <w:trHeight w:val="270"/>
        </w:trPr>
        <w:tc>
          <w:tcPr>
            <w:tcW w:w="3160" w:type="dxa"/>
            <w:vAlign w:val="bottom"/>
          </w:tcPr>
          <w:p>
            <w:pPr>
              <w:jc w:val="center"/>
              <w:ind w:right="50"/>
              <w:spacing w:after="0"/>
              <w:rPr>
                <w:sz w:val="20"/>
                <w:szCs w:val="20"/>
                <w:color w:val="auto"/>
              </w:rPr>
            </w:pPr>
            <w:r>
              <w:rPr>
                <w:rFonts w:ascii="Arial" w:cs="Arial" w:eastAsia="Arial" w:hAnsi="Arial"/>
                <w:sz w:val="18"/>
                <w:szCs w:val="18"/>
                <w:color w:val="auto"/>
                <w:w w:val="89"/>
              </w:rPr>
              <w:t>Net Revenue</w:t>
            </w:r>
          </w:p>
        </w:tc>
        <w:tc>
          <w:tcPr>
            <w:tcW w:w="2780" w:type="dxa"/>
            <w:vAlign w:val="bottom"/>
            <w:gridSpan w:val="2"/>
          </w:tcPr>
          <w:p>
            <w:pPr>
              <w:jc w:val="center"/>
              <w:spacing w:after="0"/>
              <w:rPr>
                <w:sz w:val="20"/>
                <w:szCs w:val="20"/>
                <w:color w:val="auto"/>
              </w:rPr>
            </w:pPr>
            <w:r>
              <w:rPr>
                <w:rFonts w:ascii="Arial" w:cs="Arial" w:eastAsia="Arial" w:hAnsi="Arial"/>
                <w:sz w:val="18"/>
                <w:szCs w:val="18"/>
                <w:color w:val="auto"/>
                <w:w w:val="92"/>
              </w:rPr>
              <w:t>$1.485 - $1.515 billion</w:t>
            </w:r>
          </w:p>
        </w:tc>
      </w:tr>
      <w:tr>
        <w:trPr>
          <w:trHeight w:val="270"/>
        </w:trPr>
        <w:tc>
          <w:tcPr>
            <w:tcW w:w="3160" w:type="dxa"/>
            <w:vAlign w:val="bottom"/>
          </w:tcPr>
          <w:p>
            <w:pPr>
              <w:jc w:val="center"/>
              <w:ind w:right="30"/>
              <w:spacing w:after="0"/>
              <w:rPr>
                <w:sz w:val="20"/>
                <w:szCs w:val="20"/>
                <w:color w:val="auto"/>
              </w:rPr>
            </w:pPr>
            <w:r>
              <w:rPr>
                <w:rFonts w:ascii="Arial" w:cs="Arial" w:eastAsia="Arial" w:hAnsi="Arial"/>
                <w:sz w:val="18"/>
                <w:szCs w:val="18"/>
                <w:color w:val="auto"/>
                <w:w w:val="97"/>
              </w:rPr>
              <w:t>Adjusted EBITDA</w:t>
            </w: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c>
          <w:tcPr>
            <w:tcW w:w="1740" w:type="dxa"/>
            <w:vAlign w:val="bottom"/>
          </w:tcPr>
          <w:p>
            <w:pPr>
              <w:ind w:left="20"/>
              <w:spacing w:after="0"/>
              <w:rPr>
                <w:sz w:val="20"/>
                <w:szCs w:val="20"/>
                <w:color w:val="auto"/>
              </w:rPr>
            </w:pPr>
            <w:r>
              <w:rPr>
                <w:rFonts w:ascii="Arial" w:cs="Arial" w:eastAsia="Arial" w:hAnsi="Arial"/>
                <w:sz w:val="18"/>
                <w:szCs w:val="18"/>
                <w:color w:val="auto"/>
              </w:rPr>
              <w:t>- $177 million</w:t>
            </w:r>
          </w:p>
        </w:tc>
      </w:tr>
      <w:tr>
        <w:trPr>
          <w:trHeight w:val="270"/>
        </w:trPr>
        <w:tc>
          <w:tcPr>
            <w:tcW w:w="3160" w:type="dxa"/>
            <w:vAlign w:val="bottom"/>
          </w:tcPr>
          <w:p>
            <w:pPr>
              <w:jc w:val="center"/>
              <w:ind w:right="50"/>
              <w:spacing w:after="0"/>
              <w:rPr>
                <w:sz w:val="20"/>
                <w:szCs w:val="20"/>
                <w:color w:val="auto"/>
              </w:rPr>
            </w:pPr>
            <w:r>
              <w:rPr>
                <w:rFonts w:ascii="Arial" w:cs="Arial" w:eastAsia="Arial" w:hAnsi="Arial"/>
                <w:sz w:val="18"/>
                <w:szCs w:val="18"/>
                <w:color w:val="auto"/>
                <w:w w:val="92"/>
              </w:rPr>
              <w:t>Adjusted Net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740" w:type="dxa"/>
            <w:vAlign w:val="bottom"/>
          </w:tcPr>
          <w:p>
            <w:pPr>
              <w:ind w:left="20"/>
              <w:spacing w:after="0"/>
              <w:rPr>
                <w:sz w:val="20"/>
                <w:szCs w:val="20"/>
                <w:color w:val="auto"/>
              </w:rPr>
            </w:pPr>
            <w:r>
              <w:rPr>
                <w:rFonts w:ascii="Arial" w:cs="Arial" w:eastAsia="Arial" w:hAnsi="Arial"/>
                <w:sz w:val="18"/>
                <w:szCs w:val="18"/>
                <w:color w:val="auto"/>
              </w:rPr>
              <w:t>- $56 million</w:t>
            </w:r>
          </w:p>
        </w:tc>
      </w:tr>
      <w:tr>
        <w:trPr>
          <w:trHeight w:val="270"/>
        </w:trPr>
        <w:tc>
          <w:tcPr>
            <w:tcW w:w="3160" w:type="dxa"/>
            <w:vAlign w:val="bottom"/>
          </w:tcPr>
          <w:p>
            <w:pPr>
              <w:jc w:val="center"/>
              <w:ind w:right="30"/>
              <w:spacing w:after="0"/>
              <w:rPr>
                <w:sz w:val="20"/>
                <w:szCs w:val="20"/>
                <w:color w:val="auto"/>
              </w:rPr>
            </w:pPr>
            <w:r>
              <w:rPr>
                <w:rFonts w:ascii="Arial" w:cs="Arial" w:eastAsia="Arial" w:hAnsi="Arial"/>
                <w:sz w:val="18"/>
                <w:szCs w:val="18"/>
                <w:color w:val="auto"/>
                <w:w w:val="92"/>
              </w:rPr>
              <w:t>Depreciation and Amortization</w:t>
            </w: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740" w:type="dxa"/>
            <w:vAlign w:val="bottom"/>
          </w:tcPr>
          <w:p>
            <w:pPr>
              <w:ind w:left="20"/>
              <w:spacing w:after="0"/>
              <w:rPr>
                <w:sz w:val="20"/>
                <w:szCs w:val="20"/>
                <w:color w:val="auto"/>
              </w:rPr>
            </w:pPr>
            <w:r>
              <w:rPr>
                <w:rFonts w:ascii="Arial" w:cs="Arial" w:eastAsia="Arial" w:hAnsi="Arial"/>
                <w:sz w:val="18"/>
                <w:szCs w:val="18"/>
                <w:color w:val="auto"/>
              </w:rPr>
              <w:t>- $73 million</w:t>
            </w:r>
          </w:p>
        </w:tc>
      </w:tr>
      <w:tr>
        <w:trPr>
          <w:trHeight w:val="270"/>
        </w:trPr>
        <w:tc>
          <w:tcPr>
            <w:tcW w:w="3160" w:type="dxa"/>
            <w:vAlign w:val="bottom"/>
          </w:tcPr>
          <w:p>
            <w:pPr>
              <w:jc w:val="center"/>
              <w:ind w:right="5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740" w:type="dxa"/>
            <w:vAlign w:val="bottom"/>
          </w:tcPr>
          <w:p>
            <w:pPr>
              <w:ind w:left="20"/>
              <w:spacing w:after="0"/>
              <w:rPr>
                <w:sz w:val="20"/>
                <w:szCs w:val="20"/>
                <w:color w:val="auto"/>
              </w:rPr>
            </w:pPr>
            <w:r>
              <w:rPr>
                <w:rFonts w:ascii="Arial" w:cs="Arial" w:eastAsia="Arial" w:hAnsi="Arial"/>
                <w:sz w:val="18"/>
                <w:szCs w:val="18"/>
                <w:color w:val="auto"/>
              </w:rPr>
              <w:t>- $38 million</w:t>
            </w:r>
          </w:p>
        </w:tc>
      </w:tr>
      <w:tr>
        <w:trPr>
          <w:trHeight w:val="310"/>
        </w:trPr>
        <w:tc>
          <w:tcPr>
            <w:tcW w:w="3160" w:type="dxa"/>
            <w:vAlign w:val="bottom"/>
          </w:tcPr>
          <w:p>
            <w:pPr>
              <w:jc w:val="center"/>
              <w:ind w:right="30"/>
              <w:spacing w:after="0"/>
              <w:rPr>
                <w:sz w:val="20"/>
                <w:szCs w:val="20"/>
                <w:color w:val="auto"/>
              </w:rPr>
            </w:pPr>
            <w:r>
              <w:rPr>
                <w:rFonts w:ascii="Arial" w:cs="Arial" w:eastAsia="Arial" w:hAnsi="Arial"/>
                <w:sz w:val="18"/>
                <w:szCs w:val="18"/>
                <w:color w:val="auto"/>
                <w:w w:val="85"/>
              </w:rPr>
              <w:t xml:space="preserve">Tax Rate </w:t>
            </w:r>
            <w:r>
              <w:rPr>
                <w:rFonts w:ascii="Arial" w:cs="Arial" w:eastAsia="Arial" w:hAnsi="Arial"/>
                <w:sz w:val="25"/>
                <w:szCs w:val="25"/>
                <w:color w:val="auto"/>
                <w:w w:val="85"/>
                <w:vertAlign w:val="superscript"/>
              </w:rPr>
              <w:t>(1)</w:t>
            </w:r>
          </w:p>
        </w:tc>
        <w:tc>
          <w:tcPr>
            <w:tcW w:w="1040" w:type="dxa"/>
            <w:vAlign w:val="bottom"/>
          </w:tcPr>
          <w:p>
            <w:pPr>
              <w:spacing w:after="0"/>
              <w:rPr>
                <w:sz w:val="24"/>
                <w:szCs w:val="24"/>
                <w:color w:val="auto"/>
              </w:rPr>
            </w:pPr>
          </w:p>
        </w:tc>
        <w:tc>
          <w:tcPr>
            <w:tcW w:w="1740" w:type="dxa"/>
            <w:vAlign w:val="bottom"/>
          </w:tcPr>
          <w:p>
            <w:pPr>
              <w:jc w:val="center"/>
              <w:ind w:right="970"/>
              <w:spacing w:after="0"/>
              <w:rPr>
                <w:sz w:val="20"/>
                <w:szCs w:val="20"/>
                <w:color w:val="auto"/>
              </w:rPr>
            </w:pPr>
            <w:r>
              <w:rPr>
                <w:rFonts w:ascii="Arial" w:cs="Arial" w:eastAsia="Arial" w:hAnsi="Arial"/>
                <w:sz w:val="18"/>
                <w:szCs w:val="18"/>
                <w:color w:val="auto"/>
                <w:w w:val="90"/>
              </w:rPr>
              <w:t>~26.0%</w:t>
            </w:r>
          </w:p>
        </w:tc>
      </w:tr>
      <w:tr>
        <w:trPr>
          <w:trHeight w:val="230"/>
        </w:trPr>
        <w:tc>
          <w:tcPr>
            <w:tcW w:w="3160" w:type="dxa"/>
            <w:vAlign w:val="bottom"/>
          </w:tcPr>
          <w:p>
            <w:pPr>
              <w:jc w:val="center"/>
              <w:ind w:right="30"/>
              <w:spacing w:after="0"/>
              <w:rPr>
                <w:sz w:val="20"/>
                <w:szCs w:val="20"/>
                <w:color w:val="auto"/>
              </w:rPr>
            </w:pPr>
            <w:r>
              <w:rPr>
                <w:rFonts w:ascii="Arial" w:cs="Arial" w:eastAsia="Arial" w:hAnsi="Arial"/>
                <w:sz w:val="18"/>
                <w:szCs w:val="18"/>
                <w:color w:val="auto"/>
                <w:w w:val="91"/>
              </w:rPr>
              <w:t>Capital Expenditures</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740" w:type="dxa"/>
            <w:vAlign w:val="bottom"/>
          </w:tcPr>
          <w:p>
            <w:pPr>
              <w:ind w:left="20"/>
              <w:spacing w:after="0"/>
              <w:rPr>
                <w:sz w:val="20"/>
                <w:szCs w:val="20"/>
                <w:color w:val="auto"/>
              </w:rPr>
            </w:pPr>
            <w:r>
              <w:rPr>
                <w:rFonts w:ascii="Arial" w:cs="Arial" w:eastAsia="Arial" w:hAnsi="Arial"/>
                <w:sz w:val="18"/>
                <w:szCs w:val="18"/>
                <w:color w:val="auto"/>
              </w:rPr>
              <w:t>- $105 million</w:t>
            </w:r>
          </w:p>
        </w:tc>
      </w:tr>
    </w:tbl>
    <w:p>
      <w:pPr>
        <w:spacing w:after="0" w:line="332" w:lineRule="exact"/>
        <w:rPr>
          <w:sz w:val="20"/>
          <w:szCs w:val="20"/>
          <w:color w:val="auto"/>
        </w:rPr>
      </w:pPr>
    </w:p>
    <w:p>
      <w:pPr>
        <w:ind w:left="2720"/>
        <w:spacing w:after="0"/>
        <w:rPr>
          <w:sz w:val="20"/>
          <w:szCs w:val="20"/>
          <w:color w:val="auto"/>
        </w:rPr>
      </w:pPr>
      <w:r>
        <w:rPr>
          <w:rFonts w:ascii="Arial" w:cs="Arial" w:eastAsia="Arial" w:hAnsi="Arial"/>
          <w:sz w:val="14"/>
          <w:szCs w:val="14"/>
          <w:i w:val="1"/>
          <w:iCs w:val="1"/>
          <w:color w:val="auto"/>
        </w:rPr>
        <w:t>(1) Excluding the impact of stock option exercises</w:t>
      </w:r>
    </w:p>
    <w:p>
      <w:pPr>
        <w:spacing w:after="0" w:line="200" w:lineRule="exact"/>
        <w:rPr>
          <w:sz w:val="20"/>
          <w:szCs w:val="20"/>
          <w:color w:val="auto"/>
        </w:rPr>
      </w:pPr>
    </w:p>
    <w:p>
      <w:pPr>
        <w:spacing w:after="0" w:line="4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The fiscal 2018 outlook information provided above includes Adjusted EBITDA and Adjusted Net Income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283"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The fiscal 2018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2018 outlook. The Company uses these forward looking metrics internally to assess and benchmark its results and strategic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A conference call to discuss the second quarter 2018 financial results is scheduled for today, August 14, 2018, at 11:00 a.m. Eastern Time. The U.S. toll free dial-in for the conference call is 866-754-6931 and the international dial-in is 636-812-6625. The conference passcode is 5373626. A live audio webcast of the conference call will be available on the “Investors” section of the Company’s website </w:t>
      </w:r>
      <w:r>
        <w:rPr>
          <w:rFonts w:ascii="Arial" w:cs="Arial" w:eastAsia="Arial" w:hAnsi="Arial"/>
          <w:sz w:val="18"/>
          <w:szCs w:val="18"/>
          <w:u w:val="single" w:color="auto"/>
          <w:color w:val="0000FF"/>
        </w:rPr>
        <w:t>www.nationalvision.com/investors</w:t>
      </w:r>
      <w:r>
        <w:rPr>
          <w:rFonts w:ascii="Arial" w:cs="Arial" w:eastAsia="Arial" w:hAnsi="Arial"/>
          <w:sz w:val="18"/>
          <w:szCs w:val="18"/>
          <w:color w:val="auto"/>
        </w:rPr>
        <w:t>, where presentation materials will be posted prior to the conference call.</w:t>
      </w:r>
    </w:p>
    <w:p>
      <w:pPr>
        <w:spacing w:after="0" w:line="1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telephone replay will be available shortly after the broadcast through Tuesday, August 21, 2018, by dialing 855-859-2056 from the U.S. or 404-537-3406 from international locations, and entering conference passcode 5373626. A replay of the audio webcast will also be archived on the “Investors” section of the Company’s website.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27"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National Vision Holdings, Inc. is one of the largest optical retail companies in the United States with over 1,000 retail stores in 44 states plus the District of Columbia and Puerto Rico. With a mission of helping people by making quality eyecare and eyewear more affordable and accessible, the Company operates five retail brands: America’s Best Contacts &amp; Eyeglasses, Eyeglass World, Vision Centers inside select Walmart stores, Vista Opticals inside Fred Meyer stores and on select military bases, and several e-commerce websites, offering a variety of products and services for customers’ eyecare needs.</w:t>
      </w:r>
    </w:p>
    <w:p>
      <w:pPr>
        <w:sectPr>
          <w:pgSz w:w="11900" w:h="16838" w:orient="portrait"/>
          <w:cols w:equalWidth="0" w:num="1">
            <w:col w:w="11380"/>
          </w:cols>
          <w:pgMar w:left="240" w:top="58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made above under Fiscal 2018 Outlook and those related to our expectations regarding the performance of our industry, growth strategy, goals and expectations concerning our market position, future operations, margins, profitability, capital expenditures, liquidity and capital resources and other financial and operating information. You can identify these forward-looking statements by the use of words such as “outlook,” “guidance,” “believes,” “expects,” “potential,” “continues,” “may,” “will,” “should,” “could,” “seeks,” “projects,” “predicts,” “intends,” “plans,” “estimates,” “anticipates” or the negative version of these words or other comparable words. Such forward-looking statements are subject to various risks and uncertainties, including our ability to open and operate new stores in a timely and cost-effective manner and to successfully enter new markets; our ability to maintain sufficient levels of cash flow from our operations to grow; our ability to recruit and retain vision care professionals for our stores; state, local and federal vision care and healthcare laws and regulations; our relationships with managed vision care companies, vision insurance providers and other third-party payors; our operating relationships with our host and legacy partners; the risk of loss or disruption in our distribution centers and optical laboratories; risks associated with vendors from whom our products are sourced; competition in the optical retail industry; our dependence on a limited number of suppliers; risks associated with information technology systems and the security of personal information and payment card data collected by us and our vendors; macroeconomic factors and other factors impacting consumer spending beyond the Company’s control; our growth strategy’s impact on our existing resources and performance of our existing stores; our ability to retain senior management and attract new personnel; our ability to manage costs; the success of our marketing, advertising and promotional efforts; risks associated with leasing substantial amounts of space; product liability, product recall or personal injury issues; our compliance with managed vision care laws and regulations; our reliance on third-party reimbursements; our ability to manage our inventory balances and inventory shrinkage; risks associated with our e-commerce business; seasonal fluctuations in our operating results and inventory levels; technological advances that may reduce the demand for our products, and future vision correction alternatives and drug development for the correction of vision-related problems; risks of losses arising from our investments in technological innovators in the optical retail industry; our failure to comply with, or changes in, laws, regulations, enforcement activities and other requirements; impact of any adverse judgments or settlements resulting from legal proceedings; our ability to adequately protect our intellectual property; our leverage; restrictions in our credit agreement that limits our flexibility in operating our business; our ability to generate sufficient cash flow to satisfy our debt service obligations; our dependence on our subsidiaries to fund all of our operations and expenses; risks associated with maintaining the requirements of being a public company; and our ability to comply with requirements to design, implement and maintain effective internal controls. Additional factors that could cause National Vision’s results to differ materially from those described in the forward-looking statements can be found under the heading entitled Part I, Item 1A - “Risk Factors” in the Company’s Annual Report on Form 10-K for the year ended December 30, 2017 (the “2017 Annual Report”), as filed with the Securities and Exchange Commission (“SEC”), as such factors may be updated from time to time in our periodic filings with the SEC, which are accessible on the SEC’s website</w:t>
      </w:r>
    </w:p>
    <w:p>
      <w:pPr>
        <w:spacing w:after="0" w:line="10"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at www.sec.gov.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release and in our filings with the SEC. We undertake no obligation to publicly update or review any forward-looking statement, whether as a result of new information, future developments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To supplement the Company’s financial information presented in accordance with GAAP and aid understanding of the Company’s business performance, the Company uses certain non-GAAP financial measures, namely “EBITDA,” “Adjusted EBITDA,” “Adjusted EBITDA Margin,” “Adjusted Net Income” and “Adjusted Diluted EPS.” We believe EBITDA, Adjusted EBITDA, Adjusted EBITDA Margin, Adjusted Net Income and Adjusted Diluted EPS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ectPr>
          <w:pgSz w:w="11900" w:h="16838" w:orient="portrait"/>
          <w:cols w:equalWidth="0" w:num="1">
            <w:col w:w="11420"/>
          </w:cols>
          <w:pgMar w:left="240" w:top="580" w:right="239" w:bottom="1440" w:gutter="0" w:footer="0" w:header="0"/>
        </w:sectPr>
      </w:pPr>
    </w:p>
    <w:bookmarkStart w:id="8" w:name="page9"/>
    <w:bookmarkEnd w:id="8"/>
    <w:p>
      <w:pPr>
        <w:ind w:right="60"/>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plus interest expense, income tax provision and depreciation and amortization.</w:t>
      </w:r>
    </w:p>
    <w:p>
      <w:pPr>
        <w:spacing w:after="0" w:line="225"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EBITDA, further adjusted to exclude stock compensation expense, costs associated with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asset impairment, non-cash inventory write-offs, management fees, new store pre-opening expenses, non-cash rent, litigation settlement, secondary offering expenses, and other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divided by net revenue.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Adjusted Net Income: </w:t>
      </w:r>
      <w:r>
        <w:rPr>
          <w:rFonts w:ascii="Arial" w:cs="Arial" w:eastAsia="Arial" w:hAnsi="Arial"/>
          <w:sz w:val="18"/>
          <w:szCs w:val="18"/>
          <w:color w:val="auto"/>
        </w:rPr>
        <w:t>We define Adjusted Net Income as net income, plus stock compensation expense, costs associated with debt refinancing, 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non-cash inventory write-offs, management fees, new store pre-opening expenses, non-cash rent, litigation settlement, secondary offering expenses, other expenses, amortization of acquisition intangibles and deferred financing costs, and tax benefit of stock option exercises, less the tax effect of these adjustments.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Diluted EPS: </w:t>
      </w:r>
      <w:r>
        <w:rPr>
          <w:rFonts w:ascii="Arial" w:cs="Arial" w:eastAsia="Arial" w:hAnsi="Arial"/>
          <w:sz w:val="17"/>
          <w:szCs w:val="17"/>
          <w:color w:val="auto"/>
        </w:rPr>
        <w:t>We define Adjusted Diluted EPS as Adjusted Net Income divided by diluted weighted average common shares outstanding.</w:t>
      </w:r>
    </w:p>
    <w:p>
      <w:pPr>
        <w:spacing w:after="0" w:line="23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Adjusted Comparable Store Sales Growth: </w:t>
      </w:r>
      <w:r>
        <w:rPr>
          <w:rFonts w:ascii="Arial" w:cs="Arial" w:eastAsia="Arial" w:hAnsi="Arial"/>
          <w:sz w:val="16"/>
          <w:szCs w:val="16"/>
          <w:color w:val="auto"/>
        </w:rPr>
        <w:t>We measure Adjusted Comparable Store Sales Growth as the increase or decrease in sales recorded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EBITDA, Adjusted EBITDA, Adjusted EBITDA Margin, Adjusted Net Income, Adjusted Diluted EPS and Adjusted Comparable Store Sales Growth are not recognized terms under GAAP and should not be considered as an alternative to net income (loss), the ratio of net income (loss) to net revenue, or diluted earnings per share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Please see “Reconciliation of GAAP to Non-GAAP Financial Measures” below for reconciliations of non-GAAP financial measures used in this release to their most directly comparable GAAP financial measures.</w:t>
      </w:r>
    </w:p>
    <w:p>
      <w:pPr>
        <w:sectPr>
          <w:pgSz w:w="11900" w:h="16838" w:orient="portrait"/>
          <w:cols w:equalWidth="0" w:num="1">
            <w:col w:w="11420"/>
          </w:cols>
          <w:pgMar w:left="240" w:top="584"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As of June 30, 2018 and December 30, 2017</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i w:val="1"/>
          <w:iCs w:val="1"/>
          <w:color w:val="auto"/>
        </w:rPr>
        <w:t>In Thousands, Except Par Value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8"/>
                <w:szCs w:val="18"/>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As of</w:t>
            </w:r>
          </w:p>
        </w:tc>
        <w:tc>
          <w:tcPr>
            <w:tcW w:w="200" w:type="dxa"/>
            <w:vAlign w:val="bottom"/>
          </w:tcPr>
          <w:p>
            <w:pPr>
              <w:spacing w:after="0"/>
              <w:rPr>
                <w:sz w:val="18"/>
                <w:szCs w:val="18"/>
                <w:color w:val="auto"/>
              </w:rPr>
            </w:pPr>
          </w:p>
        </w:tc>
        <w:tc>
          <w:tcPr>
            <w:tcW w:w="1800" w:type="dxa"/>
            <w:vAlign w:val="bottom"/>
          </w:tcPr>
          <w:p>
            <w:pPr>
              <w:jc w:val="right"/>
              <w:ind w:right="71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22"/>
        </w:trPr>
        <w:tc>
          <w:tcPr>
            <w:tcW w:w="63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78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w w:val="87"/>
              </w:rPr>
              <w:t>June 30, 2018</w:t>
            </w:r>
          </w:p>
        </w:tc>
        <w:tc>
          <w:tcPr>
            <w:tcW w:w="200" w:type="dxa"/>
            <w:vAlign w:val="bottom"/>
          </w:tcPr>
          <w:p>
            <w:pPr>
              <w:spacing w:after="0"/>
              <w:rPr>
                <w:sz w:val="10"/>
                <w:szCs w:val="10"/>
                <w:color w:val="auto"/>
              </w:rPr>
            </w:pPr>
          </w:p>
        </w:tc>
        <w:tc>
          <w:tcPr>
            <w:tcW w:w="1800" w:type="dxa"/>
            <w:vAlign w:val="bottom"/>
            <w:vMerge w:val="restart"/>
          </w:tcPr>
          <w:p>
            <w:pPr>
              <w:jc w:val="right"/>
              <w:ind w:right="210"/>
              <w:spacing w:after="0"/>
              <w:rPr>
                <w:sz w:val="20"/>
                <w:szCs w:val="20"/>
                <w:color w:val="auto"/>
              </w:rPr>
            </w:pPr>
            <w:r>
              <w:rPr>
                <w:rFonts w:ascii="Arial" w:cs="Arial" w:eastAsia="Arial" w:hAnsi="Arial"/>
                <w:sz w:val="18"/>
                <w:szCs w:val="18"/>
                <w:color w:val="auto"/>
                <w:w w:val="93"/>
              </w:rPr>
              <w:t>December 30, 2017</w:t>
            </w:r>
          </w:p>
        </w:tc>
        <w:tc>
          <w:tcPr>
            <w:tcW w:w="0" w:type="dxa"/>
            <w:vAlign w:val="bottom"/>
          </w:tcPr>
          <w:p>
            <w:pPr>
              <w:spacing w:after="0"/>
              <w:rPr>
                <w:sz w:val="1"/>
                <w:szCs w:val="1"/>
                <w:color w:val="auto"/>
              </w:rPr>
            </w:pPr>
          </w:p>
        </w:tc>
      </w:tr>
      <w:tr>
        <w:trPr>
          <w:trHeight w:val="108"/>
        </w:trPr>
        <w:tc>
          <w:tcPr>
            <w:tcW w:w="6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34,642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43,193</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94,909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91,151</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37"/>
        </w:trPr>
        <w:tc>
          <w:tcPr>
            <w:tcW w:w="63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199,429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162,477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328,035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304,132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792,744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792,744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3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68,716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72,903</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3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1,440,012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1,421,314</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1,639,441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1,583,791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32,784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35,708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payables and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77,611</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3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23,160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27,739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62,993</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211,309</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less current portion and debt discount</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561,980</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31,222</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42,294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46,044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 net</w:t>
            </w:r>
          </w:p>
        </w:tc>
        <w:tc>
          <w:tcPr>
            <w:tcW w:w="3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73,648</w:t>
            </w:r>
          </w:p>
        </w:tc>
        <w:tc>
          <w:tcPr>
            <w:tcW w:w="0" w:type="dxa"/>
            <w:vAlign w:val="bottom"/>
          </w:tcPr>
          <w:p>
            <w:pPr>
              <w:spacing w:after="0"/>
              <w:rPr>
                <w:sz w:val="1"/>
                <w:szCs w:val="1"/>
                <w:color w:val="auto"/>
              </w:rPr>
            </w:pPr>
          </w:p>
        </w:tc>
      </w:tr>
      <w:tr>
        <w:trPr>
          <w:trHeight w:val="237"/>
        </w:trPr>
        <w:tc>
          <w:tcPr>
            <w:tcW w:w="6360" w:type="dxa"/>
            <w:vAlign w:val="bottom"/>
          </w:tcPr>
          <w:p>
            <w:pPr>
              <w:ind w:left="480"/>
              <w:spacing w:after="0"/>
              <w:rPr>
                <w:sz w:val="20"/>
                <w:szCs w:val="20"/>
                <w:color w:val="auto"/>
              </w:rPr>
            </w:pPr>
            <w:r>
              <w:rPr>
                <w:rFonts w:ascii="Arial" w:cs="Arial" w:eastAsia="Arial" w:hAnsi="Arial"/>
                <w:sz w:val="18"/>
                <w:szCs w:val="18"/>
                <w:color w:val="auto"/>
              </w:rPr>
              <w:t>Total other non-current liabilities</w:t>
            </w:r>
          </w:p>
        </w:tc>
        <w:tc>
          <w:tcPr>
            <w:tcW w:w="3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154,025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150,914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Common stock, $0.01 par value; 200,000 shares authorized; 75,334 and 74,654</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shares issued and outstanding as of June 30, 2018 and December 30, 2017,</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638,377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631,798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94,296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37,145</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Treasury stock, at cost; 53 and 28 shares as of June 30, 2018 and December 30,</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 respectively</w:t>
            </w:r>
          </w:p>
        </w:tc>
        <w:tc>
          <w:tcPr>
            <w:tcW w:w="3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636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729,587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659,588</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1,639,441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1,583,791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440"/>
          </w:cols>
          <w:pgMar w:left="740" w:top="580" w:right="7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and Six Months Ended June 30, 2018 and July 1,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5"/>
          </w:tcPr>
          <w:p>
            <w:pPr>
              <w:ind w:left="68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3060" w:type="dxa"/>
            <w:vAlign w:val="bottom"/>
            <w:gridSpan w:val="4"/>
          </w:tcPr>
          <w:p>
            <w:pPr>
              <w:jc w:val="right"/>
              <w:ind w:right="850"/>
              <w:spacing w:after="0"/>
              <w:rPr>
                <w:sz w:val="20"/>
                <w:szCs w:val="20"/>
                <w:color w:val="auto"/>
              </w:rPr>
            </w:pPr>
            <w:r>
              <w:rPr>
                <w:rFonts w:ascii="Arial" w:cs="Arial" w:eastAsia="Arial" w:hAnsi="Arial"/>
                <w:sz w:val="18"/>
                <w:szCs w:val="18"/>
                <w:color w:val="auto"/>
              </w:rPr>
              <w:t>Six Months Ended</w:t>
            </w:r>
          </w:p>
        </w:tc>
      </w:tr>
      <w:tr>
        <w:trPr>
          <w:trHeight w:val="27"/>
        </w:trPr>
        <w:tc>
          <w:tcPr>
            <w:tcW w:w="3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June 30, 2018</w:t>
            </w:r>
          </w:p>
        </w:tc>
        <w:tc>
          <w:tcPr>
            <w:tcW w:w="22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July 1, 2017</w:t>
            </w: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June 30, 2018</w:t>
            </w:r>
          </w:p>
        </w:tc>
        <w:tc>
          <w:tcPr>
            <w:tcW w:w="220" w:type="dxa"/>
            <w:vAlign w:val="bottom"/>
          </w:tcPr>
          <w:p>
            <w:pPr>
              <w:spacing w:after="0"/>
              <w:rPr>
                <w:sz w:val="20"/>
                <w:szCs w:val="20"/>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July 1, 2017</w:t>
            </w:r>
          </w:p>
        </w:tc>
      </w:tr>
      <w:tr>
        <w:trPr>
          <w:trHeight w:val="27"/>
        </w:trPr>
        <w:tc>
          <w:tcPr>
            <w:tcW w:w="3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319,408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276,960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658,185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583,544</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123,856</w:t>
            </w:r>
          </w:p>
        </w:tc>
      </w:tr>
      <w:tr>
        <w:trPr>
          <w:trHeight w:val="237"/>
        </w:trPr>
        <w:tc>
          <w:tcPr>
            <w:tcW w:w="384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385,532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337,541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793,507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707,400</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127,731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112,314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258,609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233,347</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88,869</w:t>
            </w:r>
          </w:p>
        </w:tc>
      </w:tr>
      <w:tr>
        <w:trPr>
          <w:trHeight w:val="237"/>
        </w:trPr>
        <w:tc>
          <w:tcPr>
            <w:tcW w:w="384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177,059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156,408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357,513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322,216</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w w:val="99"/>
              </w:rPr>
              <w:t>Selling, general and administrative expenses</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165,038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144,655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335,140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294,459</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29,052</w:t>
            </w: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Asset impairment</w:t>
            </w:r>
          </w:p>
        </w:tc>
        <w:tc>
          <w:tcPr>
            <w:tcW w:w="2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3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331,690</w:t>
            </w:r>
          </w:p>
        </w:tc>
      </w:tr>
      <w:tr>
        <w:trPr>
          <w:trHeight w:val="237"/>
        </w:trPr>
        <w:tc>
          <w:tcPr>
            <w:tcW w:w="38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25,793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65,436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53,494</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26,114</w:t>
            </w: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2,702</w:t>
            </w:r>
          </w:p>
        </w:tc>
      </w:tr>
      <w:tr>
        <w:trPr>
          <w:trHeight w:val="27"/>
        </w:trPr>
        <w:tc>
          <w:tcPr>
            <w:tcW w:w="3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24,678</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8,575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9,104</w:t>
            </w:r>
          </w:p>
        </w:tc>
      </w:tr>
      <w:tr>
        <w:trPr>
          <w:trHeight w:val="27"/>
        </w:trPr>
        <w:tc>
          <w:tcPr>
            <w:tcW w:w="3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15,574</w:t>
            </w: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71"/>
        </w:trPr>
        <w:tc>
          <w:tcPr>
            <w:tcW w:w="3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0.28</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56,337</w:t>
            </w: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77,858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77,879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58,339</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4"/>
        </w:trPr>
        <w:tc>
          <w:tcPr>
            <w:tcW w:w="3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15,574</w:t>
            </w:r>
          </w:p>
        </w:tc>
      </w:tr>
      <w:tr>
        <w:trPr>
          <w:trHeight w:val="229"/>
        </w:trPr>
        <w:tc>
          <w:tcPr>
            <w:tcW w:w="3840" w:type="dxa"/>
            <w:vAlign w:val="bottom"/>
          </w:tcPr>
          <w:p>
            <w:pPr>
              <w:ind w:left="280"/>
              <w:spacing w:after="0"/>
              <w:rPr>
                <w:sz w:val="20"/>
                <w:szCs w:val="20"/>
                <w:color w:val="auto"/>
              </w:rPr>
            </w:pPr>
            <w:r>
              <w:rPr>
                <w:rFonts w:ascii="Arial" w:cs="Arial" w:eastAsia="Arial" w:hAnsi="Arial"/>
                <w:sz w:val="18"/>
                <w:szCs w:val="18"/>
                <w:color w:val="auto"/>
              </w:rPr>
              <w:t>Change in unrealized gain (loss) on hedge</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3840" w:type="dxa"/>
            <w:vAlign w:val="bottom"/>
          </w:tcPr>
          <w:p>
            <w:pPr>
              <w:ind w:left="280"/>
              <w:spacing w:after="0"/>
              <w:rPr>
                <w:sz w:val="20"/>
                <w:szCs w:val="20"/>
                <w:color w:val="auto"/>
              </w:rPr>
            </w:pPr>
            <w:r>
              <w:rPr>
                <w:rFonts w:ascii="Arial" w:cs="Arial" w:eastAsia="Arial" w:hAnsi="Arial"/>
                <w:sz w:val="18"/>
                <w:szCs w:val="18"/>
                <w:color w:val="auto"/>
              </w:rPr>
              <w:t>instruments</w:t>
            </w:r>
          </w:p>
        </w:tc>
        <w:tc>
          <w:tcPr>
            <w:tcW w:w="20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9,575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38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Tax (provision) benefit of change in unrealized</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7"/>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hedge instruments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57"/>
        </w:trPr>
        <w:tc>
          <w:tcPr>
            <w:tcW w:w="38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15,575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45,246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15,525</w:t>
            </w: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440"/>
          </w:cols>
          <w:pgMar w:left="740" w:top="796" w:right="7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June 30, 2018 and July 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7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4"/>
          </w:tcPr>
          <w:p>
            <w:pPr>
              <w:jc w:val="right"/>
              <w:ind w:right="830"/>
              <w:spacing w:after="0"/>
              <w:rPr>
                <w:sz w:val="20"/>
                <w:szCs w:val="20"/>
                <w:color w:val="auto"/>
              </w:rPr>
            </w:pPr>
            <w:r>
              <w:rPr>
                <w:rFonts w:ascii="Arial" w:cs="Arial" w:eastAsia="Arial" w:hAnsi="Arial"/>
                <w:sz w:val="18"/>
                <w:szCs w:val="18"/>
                <w:color w:val="auto"/>
              </w:rPr>
              <w:t>Six Months Ended</w:t>
            </w:r>
          </w:p>
        </w:tc>
      </w:tr>
      <w:tr>
        <w:trPr>
          <w:trHeight w:val="27"/>
        </w:trPr>
        <w:tc>
          <w:tcPr>
            <w:tcW w:w="7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June 30, 2018</w:t>
            </w:r>
          </w:p>
        </w:tc>
        <w:tc>
          <w:tcPr>
            <w:tcW w:w="240" w:type="dxa"/>
            <w:vAlign w:val="bottom"/>
          </w:tcPr>
          <w:p>
            <w:pPr>
              <w:spacing w:after="0"/>
              <w:rPr>
                <w:sz w:val="20"/>
                <w:szCs w:val="20"/>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color w:val="auto"/>
                <w:w w:val="98"/>
              </w:rPr>
              <w:t>July 1, 2017</w:t>
            </w:r>
          </w:p>
        </w:tc>
      </w:tr>
      <w:tr>
        <w:trPr>
          <w:trHeight w:val="27"/>
        </w:trPr>
        <w:tc>
          <w:tcPr>
            <w:tcW w:w="7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38,124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15,574</w:t>
            </w:r>
          </w:p>
        </w:tc>
      </w:tr>
      <w:tr>
        <w:trPr>
          <w:trHeight w:val="27"/>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Depreciation of property and equipment</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30,814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24,835</w:t>
            </w:r>
          </w:p>
        </w:tc>
      </w:tr>
      <w:tr>
        <w:trPr>
          <w:trHeight w:val="27"/>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4,217</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Amortization of loan costs</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2,042</w:t>
            </w:r>
          </w:p>
        </w:tc>
      </w:tr>
      <w:tr>
        <w:trPr>
          <w:trHeight w:val="27"/>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Deferred income tax expense</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8,765</w:t>
            </w:r>
          </w:p>
        </w:tc>
      </w:tr>
      <w:tr>
        <w:trPr>
          <w:trHeight w:val="27"/>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stock option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Non-cash inventory adjustments</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3,880</w:t>
            </w:r>
          </w:p>
        </w:tc>
      </w:tr>
      <w:tr>
        <w:trPr>
          <w:trHeight w:val="27"/>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2,702</w:t>
            </w:r>
          </w:p>
        </w:tc>
      </w:tr>
      <w:tr>
        <w:trPr>
          <w:trHeight w:val="27"/>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(6,192)</w:t>
            </w:r>
          </w:p>
        </w:tc>
      </w:tr>
      <w:tr>
        <w:trPr>
          <w:trHeight w:val="27"/>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(4,967)</w:t>
            </w:r>
          </w:p>
        </w:tc>
      </w:tr>
      <w:tr>
        <w:trPr>
          <w:trHeight w:val="27"/>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7,576</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8,438</w:t>
            </w:r>
          </w:p>
        </w:tc>
      </w:tr>
      <w:tr>
        <w:trPr>
          <w:trHeight w:val="27"/>
        </w:trPr>
        <w:tc>
          <w:tcPr>
            <w:tcW w:w="7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67,933</w:t>
            </w:r>
          </w:p>
        </w:tc>
      </w:tr>
      <w:tr>
        <w:trPr>
          <w:trHeight w:val="233"/>
        </w:trPr>
        <w:tc>
          <w:tcPr>
            <w:tcW w:w="7120" w:type="dxa"/>
            <w:vAlign w:val="bottom"/>
          </w:tcPr>
          <w:p>
            <w:pPr>
              <w:ind w:left="40"/>
              <w:spacing w:after="0"/>
              <w:rPr>
                <w:sz w:val="20"/>
                <w:szCs w:val="20"/>
                <w:color w:val="auto"/>
              </w:rPr>
            </w:pPr>
            <w:r>
              <w:rPr>
                <w:rFonts w:ascii="Arial" w:cs="Arial" w:eastAsia="Arial" w:hAnsi="Arial"/>
                <w:sz w:val="17"/>
                <w:szCs w:val="17"/>
                <w:b w:val="1"/>
                <w:bCs w:val="1"/>
                <w:color w:val="auto"/>
              </w:rPr>
              <w:t>Cash flows from investing activities: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31"/>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(44,219)</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7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(44,135)</w:t>
            </w:r>
          </w:p>
        </w:tc>
      </w:tr>
      <w:tr>
        <w:trPr>
          <w:trHeight w:val="233"/>
        </w:trPr>
        <w:tc>
          <w:tcPr>
            <w:tcW w:w="7120" w:type="dxa"/>
            <w:vAlign w:val="bottom"/>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31"/>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173,712</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1,088</w:t>
            </w:r>
          </w:p>
        </w:tc>
      </w:tr>
      <w:tr>
        <w:trPr>
          <w:trHeight w:val="27"/>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 payments on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(2,702)</w:t>
            </w:r>
          </w:p>
        </w:tc>
      </w:tr>
      <w:tr>
        <w:trPr>
          <w:trHeight w:val="27"/>
        </w:trPr>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 to stockholders</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(170,983)</w:t>
            </w:r>
          </w:p>
        </w:tc>
      </w:tr>
      <w:tr>
        <w:trPr>
          <w:trHeight w:val="237"/>
        </w:trPr>
        <w:tc>
          <w:tcPr>
            <w:tcW w:w="7120" w:type="dxa"/>
            <w:vAlign w:val="bottom"/>
          </w:tcPr>
          <w:p>
            <w:pPr>
              <w:ind w:left="40"/>
              <w:spacing w:after="0"/>
              <w:rPr>
                <w:sz w:val="20"/>
                <w:szCs w:val="20"/>
                <w:color w:val="auto"/>
              </w:rPr>
            </w:pPr>
            <w:r>
              <w:rPr>
                <w:rFonts w:ascii="Arial" w:cs="Arial" w:eastAsia="Arial" w:hAnsi="Arial"/>
                <w:sz w:val="18"/>
                <w:szCs w:val="18"/>
                <w:color w:val="auto"/>
              </w:rPr>
              <w:t>Net cash used for financing activities</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(3,466)</w:t>
            </w:r>
          </w:p>
        </w:tc>
      </w:tr>
      <w:tr>
        <w:trPr>
          <w:trHeight w:val="27"/>
        </w:trPr>
        <w:tc>
          <w:tcPr>
            <w:tcW w:w="7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20,332</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5,687</w:t>
            </w:r>
          </w:p>
        </w:tc>
      </w:tr>
      <w:tr>
        <w:trPr>
          <w:trHeight w:val="27"/>
        </w:trPr>
        <w:tc>
          <w:tcPr>
            <w:tcW w:w="7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26,019</w:t>
            </w:r>
          </w:p>
        </w:tc>
      </w:tr>
      <w:tr>
        <w:trPr>
          <w:trHeight w:val="20"/>
        </w:trPr>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above:</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4"/>
          </w:tcPr>
          <w:p>
            <w:pPr>
              <w:jc w:val="right"/>
              <w:ind w:right="850"/>
              <w:spacing w:after="0"/>
              <w:rPr>
                <w:sz w:val="20"/>
                <w:szCs w:val="20"/>
                <w:color w:val="auto"/>
              </w:rPr>
            </w:pPr>
            <w:r>
              <w:rPr>
                <w:rFonts w:ascii="Arial" w:cs="Arial" w:eastAsia="Arial" w:hAnsi="Arial"/>
                <w:sz w:val="18"/>
                <w:szCs w:val="18"/>
                <w:color w:val="auto"/>
              </w:rPr>
              <w:t>Six Months Ended</w:t>
            </w:r>
          </w:p>
        </w:tc>
      </w:tr>
      <w:tr>
        <w:trPr>
          <w:trHeight w:val="27"/>
        </w:trPr>
        <w:tc>
          <w:tcPr>
            <w:tcW w:w="7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June 30, 2018</w:t>
            </w:r>
          </w:p>
        </w:tc>
        <w:tc>
          <w:tcPr>
            <w:tcW w:w="220" w:type="dxa"/>
            <w:vAlign w:val="bottom"/>
          </w:tcPr>
          <w:p>
            <w:pPr>
              <w:spacing w:after="0"/>
              <w:rPr>
                <w:sz w:val="20"/>
                <w:szCs w:val="20"/>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July 1, 2017</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Restricted cash included in other assets</w:t>
            </w: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1,155</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26,019</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88" w:right="2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Income to EBITDA, Adjusted EBITDA, Adjusted Net Income and Adjusted Diluted EPS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and Six Months Ended June 30, 2018 and July 1, 2017</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40" w:type="dxa"/>
            <w:vAlign w:val="bottom"/>
            <w:gridSpan w:val="6"/>
          </w:tcPr>
          <w:p>
            <w:pPr>
              <w:jc w:val="right"/>
              <w:ind w:right="330"/>
              <w:spacing w:after="0"/>
              <w:rPr>
                <w:sz w:val="20"/>
                <w:szCs w:val="20"/>
                <w:color w:val="auto"/>
              </w:rPr>
            </w:pPr>
            <w:r>
              <w:rPr>
                <w:rFonts w:ascii="Arial" w:cs="Arial" w:eastAsia="Arial" w:hAnsi="Arial"/>
                <w:sz w:val="18"/>
                <w:szCs w:val="18"/>
                <w:color w:val="auto"/>
                <w:w w:val="95"/>
              </w:rPr>
              <w:t>Three Months Ended</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60" w:type="dxa"/>
            <w:vAlign w:val="bottom"/>
            <w:gridSpan w:val="6"/>
          </w:tcPr>
          <w:p>
            <w:pPr>
              <w:jc w:val="right"/>
              <w:ind w:right="390"/>
              <w:spacing w:after="0"/>
              <w:rPr>
                <w:sz w:val="20"/>
                <w:szCs w:val="20"/>
                <w:color w:val="auto"/>
              </w:rPr>
            </w:pPr>
            <w:r>
              <w:rPr>
                <w:rFonts w:ascii="Arial" w:cs="Arial" w:eastAsia="Arial" w:hAnsi="Arial"/>
                <w:sz w:val="18"/>
                <w:szCs w:val="18"/>
                <w:color w:val="auto"/>
                <w:w w:val="99"/>
              </w:rPr>
              <w:t>Six Months Ended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5"/>
          </w:tcPr>
          <w:p>
            <w:pPr>
              <w:ind w:left="140"/>
              <w:spacing w:after="0"/>
              <w:rPr>
                <w:sz w:val="20"/>
                <w:szCs w:val="20"/>
                <w:color w:val="auto"/>
              </w:rPr>
            </w:pPr>
            <w:r>
              <w:rPr>
                <w:rFonts w:ascii="Arial" w:cs="Arial" w:eastAsia="Arial" w:hAnsi="Arial"/>
                <w:sz w:val="18"/>
                <w:szCs w:val="18"/>
                <w:color w:val="auto"/>
              </w:rPr>
              <w:t>June 30, 2018</w:t>
            </w:r>
          </w:p>
        </w:tc>
        <w:tc>
          <w:tcPr>
            <w:tcW w:w="280" w:type="dxa"/>
            <w:vAlign w:val="bottom"/>
          </w:tcPr>
          <w:p>
            <w:pPr>
              <w:spacing w:after="0"/>
              <w:rPr>
                <w:sz w:val="20"/>
                <w:szCs w:val="20"/>
                <w:color w:val="auto"/>
              </w:rPr>
            </w:pPr>
          </w:p>
        </w:tc>
        <w:tc>
          <w:tcPr>
            <w:tcW w:w="1660" w:type="dxa"/>
            <w:vAlign w:val="bottom"/>
            <w:gridSpan w:val="5"/>
          </w:tcPr>
          <w:p>
            <w:pPr>
              <w:ind w:left="200"/>
              <w:spacing w:after="0"/>
              <w:rPr>
                <w:sz w:val="20"/>
                <w:szCs w:val="20"/>
                <w:color w:val="auto"/>
              </w:rPr>
            </w:pPr>
            <w:r>
              <w:rPr>
                <w:rFonts w:ascii="Arial" w:cs="Arial" w:eastAsia="Arial" w:hAnsi="Arial"/>
                <w:sz w:val="18"/>
                <w:szCs w:val="18"/>
                <w:color w:val="auto"/>
              </w:rPr>
              <w:t>July 1, 2017</w:t>
            </w:r>
          </w:p>
        </w:tc>
        <w:tc>
          <w:tcPr>
            <w:tcW w:w="260" w:type="dxa"/>
            <w:vAlign w:val="bottom"/>
          </w:tcPr>
          <w:p>
            <w:pPr>
              <w:spacing w:after="0"/>
              <w:rPr>
                <w:sz w:val="20"/>
                <w:szCs w:val="20"/>
                <w:color w:val="auto"/>
              </w:rPr>
            </w:pPr>
          </w:p>
        </w:tc>
        <w:tc>
          <w:tcPr>
            <w:tcW w:w="1600" w:type="dxa"/>
            <w:vAlign w:val="bottom"/>
            <w:gridSpan w:val="3"/>
          </w:tcPr>
          <w:p>
            <w:pPr>
              <w:ind w:left="180"/>
              <w:spacing w:after="0"/>
              <w:rPr>
                <w:sz w:val="20"/>
                <w:szCs w:val="20"/>
                <w:color w:val="auto"/>
              </w:rPr>
            </w:pPr>
            <w:r>
              <w:rPr>
                <w:rFonts w:ascii="Arial" w:cs="Arial" w:eastAsia="Arial" w:hAnsi="Arial"/>
                <w:sz w:val="18"/>
                <w:szCs w:val="18"/>
                <w:color w:val="auto"/>
              </w:rPr>
              <w:t>June 30, 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Arial" w:cs="Arial" w:eastAsia="Arial" w:hAnsi="Arial"/>
                <w:sz w:val="18"/>
                <w:szCs w:val="18"/>
                <w:color w:val="auto"/>
              </w:rPr>
              <w:t>July 1, 2017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13,077</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38,124</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4.8%</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15,574</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9,424</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14,622</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18,737</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26,114</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3,292</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8,575</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9,104</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17,346</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14,629</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29,052</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EBITDA</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28,401</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100,436</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79,844</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1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3,120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1,989</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tcPr>
          <w:p>
            <w:pPr>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w:t>
            </w:r>
          </w:p>
        </w:tc>
        <w:tc>
          <w:tcPr>
            <w:tcW w:w="26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2,702</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1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tcPr>
          <w:p>
            <w:pPr>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2,271</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1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tcPr>
          <w:p>
            <w:pPr>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660</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1,230</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1,278</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1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tcPr>
          <w:p>
            <w:pPr>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center"/>
              <w:ind w:right="120"/>
              <w:spacing w:after="0"/>
              <w:rPr>
                <w:sz w:val="20"/>
                <w:szCs w:val="20"/>
                <w:color w:val="auto"/>
              </w:rPr>
            </w:pPr>
            <w:r>
              <w:rPr>
                <w:rFonts w:ascii="Arial" w:cs="Arial" w:eastAsia="Arial" w:hAnsi="Arial"/>
                <w:sz w:val="18"/>
                <w:szCs w:val="18"/>
                <w:color w:val="auto"/>
                <w:w w:val="93"/>
              </w:rPr>
              <w:t>—%</w:t>
            </w:r>
          </w:p>
        </w:tc>
        <w:tc>
          <w:tcPr>
            <w:tcW w:w="28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2.1%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1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(i)</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96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1,140</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3100" w:type="dxa"/>
            <w:vAlign w:val="bottom"/>
            <w:tcBorders>
              <w:bottom w:val="single" w:sz="8" w:color="CCEEFF"/>
            </w:tcBorders>
          </w:tcPr>
          <w:p>
            <w:pPr>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(j)</w:t>
            </w: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w:t>
            </w: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0.2%</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831</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0.2%</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1,185</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0.3%</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1,213</w:t>
            </w: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0.2%</w:t>
            </w:r>
          </w:p>
        </w:tc>
        <w:tc>
          <w:tcPr>
            <w:tcW w:w="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3100" w:type="dxa"/>
            <w:vAlign w:val="bottom"/>
            <w:shd w:val="clear" w:color="auto" w:fill="CCEEFF"/>
          </w:tcPr>
          <w:p>
            <w:pPr>
              <w:ind w:left="140"/>
              <w:spacing w:after="0" w:line="205" w:lineRule="exact"/>
              <w:rPr>
                <w:sz w:val="20"/>
                <w:szCs w:val="20"/>
                <w:color w:val="auto"/>
              </w:rPr>
            </w:pPr>
            <w:r>
              <w:rPr>
                <w:rFonts w:ascii="Arial" w:cs="Arial" w:eastAsia="Arial" w:hAnsi="Arial"/>
                <w:sz w:val="18"/>
                <w:szCs w:val="18"/>
                <w:b w:val="1"/>
                <w:bCs w:val="1"/>
                <w:color w:val="auto"/>
              </w:rPr>
              <w:t>Adjusted EBITDA/ Adjusted</w:t>
            </w: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46,830</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39,619</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107,919</w:t>
            </w: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98,525</w:t>
            </w: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31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EBITDA Margin</w:t>
            </w:r>
          </w:p>
        </w:tc>
        <w:tc>
          <w:tcPr>
            <w:tcW w:w="320" w:type="dxa"/>
            <w:vAlign w:val="bottom"/>
            <w:gridSpan w:val="2"/>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w:t>
            </w:r>
          </w:p>
        </w:tc>
        <w:tc>
          <w:tcPr>
            <w:tcW w:w="20" w:type="dxa"/>
            <w:vAlign w:val="bottom"/>
            <w:shd w:val="clear" w:color="auto" w:fill="CCEEFF"/>
          </w:tcPr>
          <w:p>
            <w:pPr>
              <w:spacing w:after="0"/>
              <w:rPr>
                <w:sz w:val="20"/>
                <w:szCs w:val="20"/>
                <w:color w:val="auto"/>
              </w:rPr>
            </w:pPr>
          </w:p>
        </w:tc>
        <w:tc>
          <w:tcPr>
            <w:tcW w:w="380" w:type="dxa"/>
            <w:vAlign w:val="bottom"/>
            <w:gridSpan w:val="3"/>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13.9%</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w w:val="91"/>
              </w:rPr>
              <w:t>Note: Percentages reflect line item as a percentage</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of net revenue</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gridSpan w:val="6"/>
          </w:tcPr>
          <w:p>
            <w:pPr>
              <w:jc w:val="right"/>
              <w:ind w:right="310"/>
              <w:spacing w:after="0"/>
              <w:rPr>
                <w:sz w:val="20"/>
                <w:szCs w:val="20"/>
                <w:color w:val="auto"/>
              </w:rPr>
            </w:pPr>
            <w:r>
              <w:rPr>
                <w:rFonts w:ascii="Arial" w:cs="Arial" w:eastAsia="Arial" w:hAnsi="Arial"/>
                <w:sz w:val="18"/>
                <w:szCs w:val="18"/>
                <w:color w:val="auto"/>
                <w:w w:val="96"/>
              </w:rPr>
              <w:t>Three Months Ended</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gridSpan w:val="6"/>
          </w:tcPr>
          <w:p>
            <w:pPr>
              <w:jc w:val="right"/>
              <w:ind w:right="410"/>
              <w:spacing w:after="0"/>
              <w:rPr>
                <w:sz w:val="20"/>
                <w:szCs w:val="20"/>
                <w:color w:val="auto"/>
              </w:rPr>
            </w:pPr>
            <w:r>
              <w:rPr>
                <w:rFonts w:ascii="Arial" w:cs="Arial" w:eastAsia="Arial" w:hAnsi="Arial"/>
                <w:sz w:val="18"/>
                <w:szCs w:val="18"/>
                <w:color w:val="auto"/>
                <w:w w:val="98"/>
              </w:rPr>
              <w:t>Six Months Ended</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5"/>
          </w:tcPr>
          <w:p>
            <w:pPr>
              <w:ind w:left="140"/>
              <w:spacing w:after="0"/>
              <w:rPr>
                <w:sz w:val="20"/>
                <w:szCs w:val="20"/>
                <w:color w:val="auto"/>
              </w:rPr>
            </w:pPr>
            <w:r>
              <w:rPr>
                <w:rFonts w:ascii="Arial" w:cs="Arial" w:eastAsia="Arial" w:hAnsi="Arial"/>
                <w:sz w:val="18"/>
                <w:szCs w:val="18"/>
                <w:color w:val="auto"/>
              </w:rPr>
              <w:t>June 30, 2018</w:t>
            </w:r>
          </w:p>
        </w:tc>
        <w:tc>
          <w:tcPr>
            <w:tcW w:w="280" w:type="dxa"/>
            <w:vAlign w:val="bottom"/>
          </w:tcPr>
          <w:p>
            <w:pPr>
              <w:spacing w:after="0"/>
              <w:rPr>
                <w:sz w:val="20"/>
                <w:szCs w:val="20"/>
                <w:color w:val="auto"/>
              </w:rPr>
            </w:pPr>
          </w:p>
        </w:tc>
        <w:tc>
          <w:tcPr>
            <w:tcW w:w="1660" w:type="dxa"/>
            <w:vAlign w:val="bottom"/>
            <w:gridSpan w:val="5"/>
          </w:tcPr>
          <w:p>
            <w:pPr>
              <w:ind w:left="160"/>
              <w:spacing w:after="0"/>
              <w:rPr>
                <w:sz w:val="20"/>
                <w:szCs w:val="20"/>
                <w:color w:val="auto"/>
              </w:rPr>
            </w:pPr>
            <w:r>
              <w:rPr>
                <w:rFonts w:ascii="Arial" w:cs="Arial" w:eastAsia="Arial" w:hAnsi="Arial"/>
                <w:sz w:val="18"/>
                <w:szCs w:val="18"/>
                <w:color w:val="auto"/>
              </w:rPr>
              <w:t>July 1, 2017</w:t>
            </w:r>
          </w:p>
        </w:tc>
        <w:tc>
          <w:tcPr>
            <w:tcW w:w="260" w:type="dxa"/>
            <w:vAlign w:val="bottom"/>
          </w:tcPr>
          <w:p>
            <w:pPr>
              <w:spacing w:after="0"/>
              <w:rPr>
                <w:sz w:val="20"/>
                <w:szCs w:val="20"/>
                <w:color w:val="auto"/>
              </w:rPr>
            </w:pPr>
          </w:p>
        </w:tc>
        <w:tc>
          <w:tcPr>
            <w:tcW w:w="1600" w:type="dxa"/>
            <w:vAlign w:val="bottom"/>
            <w:gridSpan w:val="3"/>
          </w:tcPr>
          <w:p>
            <w:pPr>
              <w:ind w:left="140"/>
              <w:spacing w:after="0"/>
              <w:rPr>
                <w:sz w:val="20"/>
                <w:szCs w:val="20"/>
                <w:color w:val="auto"/>
              </w:rPr>
            </w:pPr>
            <w:r>
              <w:rPr>
                <w:rFonts w:ascii="Arial" w:cs="Arial" w:eastAsia="Arial" w:hAnsi="Arial"/>
                <w:sz w:val="18"/>
                <w:szCs w:val="18"/>
                <w:color w:val="auto"/>
              </w:rPr>
              <w:t>June 30, 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3"/>
          </w:tcPr>
          <w:p>
            <w:pPr>
              <w:ind w:left="180"/>
              <w:spacing w:after="0"/>
              <w:rPr>
                <w:sz w:val="20"/>
                <w:szCs w:val="20"/>
                <w:color w:val="auto"/>
              </w:rPr>
            </w:pPr>
            <w:r>
              <w:rPr>
                <w:rFonts w:ascii="Arial" w:cs="Arial" w:eastAsia="Arial" w:hAnsi="Arial"/>
                <w:sz w:val="18"/>
                <w:szCs w:val="18"/>
                <w:color w:val="auto"/>
              </w:rPr>
              <w:t>July 1,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38,124</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15,574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1,524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3,120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1,989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(i)</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(j)</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Arial" w:cs="Arial" w:eastAsia="Arial" w:hAnsi="Arial"/>
                <w:sz w:val="18"/>
                <w:szCs w:val="18"/>
                <w:color w:val="auto"/>
              </w:rPr>
              <w:t>Amortization of acquisition intangibles</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and deferred financing costs </w:t>
            </w:r>
            <w:r>
              <w:rPr>
                <w:rFonts w:ascii="Arial" w:cs="Arial" w:eastAsia="Arial" w:hAnsi="Arial"/>
                <w:sz w:val="25"/>
                <w:szCs w:val="25"/>
                <w:color w:val="auto"/>
                <w:vertAlign w:val="superscript"/>
              </w:rPr>
              <w:t>(k)</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2,281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2,885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4,562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5,744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w w:val="98"/>
              </w:rPr>
              <w:t xml:space="preserve">Tax benefit of stock option exercises </w:t>
            </w:r>
            <w:r>
              <w:rPr>
                <w:rFonts w:ascii="Arial" w:cs="Arial" w:eastAsia="Arial" w:hAnsi="Arial"/>
                <w:sz w:val="25"/>
                <w:szCs w:val="25"/>
                <w:color w:val="auto"/>
                <w:w w:val="98"/>
                <w:vertAlign w:val="superscript"/>
              </w:rPr>
              <w:t>(l)</w:t>
            </w: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(m)</w:t>
            </w:r>
          </w:p>
        </w:tc>
        <w:tc>
          <w:tcPr>
            <w:tcW w:w="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Adjusted Net Income</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16,150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6,966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spacing w:after="0"/>
              <w:rPr>
                <w:sz w:val="22"/>
                <w:szCs w:val="22"/>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43,020</w:t>
            </w:r>
          </w:p>
        </w:tc>
        <w:tc>
          <w:tcPr>
            <w:tcW w:w="2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30,229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20"/>
          </w:cols>
          <w:pgMar w:left="500" w:top="580" w:right="479" w:bottom="1440" w:gutter="0" w:footer="0" w:header="0"/>
        </w:sectPr>
      </w:pPr>
    </w:p>
    <w:bookmarkStart w:id="13" w:name="page14"/>
    <w:bookmarkEnd w:id="13"/>
    <w:p>
      <w:pPr>
        <w:spacing w:after="0" w:line="1" w:lineRule="exact"/>
        <w:rPr>
          <w:sz w:val="20"/>
          <w:szCs w:val="20"/>
          <w:color w:val="auto"/>
        </w:rPr>
      </w:pPr>
    </w:p>
    <w:tbl>
      <w:tblPr>
        <w:tblLayout w:type="fixed"/>
        <w:tblInd w:w="88"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gridSpan w:val="5"/>
          </w:tcPr>
          <w:p>
            <w:pPr>
              <w:ind w:left="84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0"/>
                <w:szCs w:val="20"/>
                <w:color w:val="auto"/>
              </w:rPr>
            </w:pPr>
          </w:p>
        </w:tc>
        <w:tc>
          <w:tcPr>
            <w:tcW w:w="3440" w:type="dxa"/>
            <w:vAlign w:val="bottom"/>
            <w:gridSpan w:val="4"/>
          </w:tcPr>
          <w:p>
            <w:pPr>
              <w:jc w:val="right"/>
              <w:ind w:right="1090"/>
              <w:spacing w:after="0"/>
              <w:rPr>
                <w:sz w:val="20"/>
                <w:szCs w:val="20"/>
                <w:color w:val="auto"/>
              </w:rPr>
            </w:pPr>
            <w:r>
              <w:rPr>
                <w:rFonts w:ascii="Arial" w:cs="Arial" w:eastAsia="Arial" w:hAnsi="Arial"/>
                <w:sz w:val="18"/>
                <w:szCs w:val="18"/>
                <w:color w:val="auto"/>
              </w:rPr>
              <w:t>Six Months Ended</w:t>
            </w:r>
          </w:p>
        </w:tc>
      </w:tr>
      <w:tr>
        <w:trPr>
          <w:trHeight w:val="27"/>
        </w:trPr>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June 30, 2018</w:t>
            </w:r>
          </w:p>
        </w:tc>
        <w:tc>
          <w:tcPr>
            <w:tcW w:w="280" w:type="dxa"/>
            <w:vAlign w:val="bottom"/>
          </w:tcPr>
          <w:p>
            <w:pPr>
              <w:spacing w:after="0"/>
              <w:rPr>
                <w:sz w:val="20"/>
                <w:szCs w:val="20"/>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July 1, 2017</w:t>
            </w:r>
          </w:p>
        </w:tc>
        <w:tc>
          <w:tcPr>
            <w:tcW w:w="2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color w:val="auto"/>
              </w:rPr>
              <w:t>June 30, 2018</w:t>
            </w:r>
          </w:p>
        </w:tc>
        <w:tc>
          <w:tcPr>
            <w:tcW w:w="280" w:type="dxa"/>
            <w:vAlign w:val="bottom"/>
          </w:tcPr>
          <w:p>
            <w:pPr>
              <w:spacing w:after="0"/>
              <w:rPr>
                <w:sz w:val="20"/>
                <w:szCs w:val="20"/>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color w:val="auto"/>
              </w:rPr>
              <w:t>July 1, 2017</w:t>
            </w:r>
          </w:p>
        </w:tc>
      </w:tr>
      <w:tr>
        <w:trPr>
          <w:trHeight w:val="27"/>
        </w:trPr>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0.27</w:t>
            </w:r>
          </w:p>
        </w:tc>
      </w:tr>
      <w:tr>
        <w:trPr>
          <w:trHeight w:val="27"/>
        </w:trPr>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70"/>
        </w:trPr>
        <w:tc>
          <w:tcPr>
            <w:tcW w:w="30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2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0.05</w:t>
            </w:r>
          </w:p>
        </w:tc>
      </w:tr>
      <w:tr>
        <w:trPr>
          <w:trHeight w:val="270"/>
        </w:trPr>
        <w:tc>
          <w:tcPr>
            <w:tcW w:w="3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2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70"/>
        </w:trPr>
        <w:tc>
          <w:tcPr>
            <w:tcW w:w="30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2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0"/>
        </w:trPr>
        <w:tc>
          <w:tcPr>
            <w:tcW w:w="3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2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30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26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0"/>
        </w:trPr>
        <w:tc>
          <w:tcPr>
            <w:tcW w:w="3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30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26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0.12</w:t>
            </w:r>
          </w:p>
        </w:tc>
      </w:tr>
      <w:tr>
        <w:trPr>
          <w:trHeight w:val="270"/>
        </w:trPr>
        <w:tc>
          <w:tcPr>
            <w:tcW w:w="3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(i)</w:t>
            </w:r>
          </w:p>
        </w:tc>
        <w:tc>
          <w:tcPr>
            <w:tcW w:w="2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(j)</w:t>
            </w:r>
          </w:p>
        </w:tc>
        <w:tc>
          <w:tcPr>
            <w:tcW w:w="26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acquisition intangibles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57"/>
        </w:trPr>
        <w:tc>
          <w:tcPr>
            <w:tcW w:w="308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 xml:space="preserve">and deferred financing costs </w:t>
            </w:r>
            <w:r>
              <w:rPr>
                <w:rFonts w:ascii="Arial" w:cs="Arial" w:eastAsia="Arial" w:hAnsi="Arial"/>
                <w:sz w:val="25"/>
                <w:szCs w:val="25"/>
                <w:color w:val="auto"/>
                <w:vertAlign w:val="superscript"/>
              </w:rPr>
              <w:t>(k)</w:t>
            </w: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r>
      <w:tr>
        <w:trPr>
          <w:trHeight w:val="270"/>
        </w:trPr>
        <w:tc>
          <w:tcPr>
            <w:tcW w:w="3080" w:type="dxa"/>
            <w:vAlign w:val="bottom"/>
          </w:tcPr>
          <w:p>
            <w:pPr>
              <w:ind w:left="20"/>
              <w:spacing w:after="0" w:line="270" w:lineRule="exact"/>
              <w:rPr>
                <w:sz w:val="20"/>
                <w:szCs w:val="20"/>
                <w:color w:val="auto"/>
              </w:rPr>
            </w:pPr>
            <w:r>
              <w:rPr>
                <w:rFonts w:ascii="Arial" w:cs="Arial" w:eastAsia="Arial" w:hAnsi="Arial"/>
                <w:sz w:val="18"/>
                <w:szCs w:val="18"/>
                <w:color w:val="auto"/>
                <w:w w:val="97"/>
              </w:rPr>
              <w:t xml:space="preserve">Tax benefit of stock option exercises </w:t>
            </w:r>
            <w:r>
              <w:rPr>
                <w:rFonts w:ascii="Arial" w:cs="Arial" w:eastAsia="Arial" w:hAnsi="Arial"/>
                <w:sz w:val="25"/>
                <w:szCs w:val="25"/>
                <w:color w:val="auto"/>
                <w:w w:val="97"/>
                <w:vertAlign w:val="superscript"/>
              </w:rPr>
              <w:t>(l)</w:t>
            </w:r>
          </w:p>
        </w:tc>
        <w:tc>
          <w:tcPr>
            <w:tcW w:w="2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0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(m)</w:t>
            </w: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97"/>
        </w:trPr>
        <w:tc>
          <w:tcPr>
            <w:tcW w:w="3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Adjusted Diluted EPS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0.52</w:t>
            </w:r>
          </w:p>
        </w:tc>
      </w:tr>
      <w:tr>
        <w:trPr>
          <w:trHeight w:val="311"/>
        </w:trPr>
        <w:tc>
          <w:tcPr>
            <w:tcW w:w="3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25"/>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Weighted average diluted shares</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4"/>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77,858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56,414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77,879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58,339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17145</wp:posOffset>
            </wp:positionV>
            <wp:extent cx="6732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270" cy="128905"/>
                    </a:xfrm>
                    <a:prstGeom prst="rect">
                      <a:avLst/>
                    </a:prstGeom>
                    <a:noFill/>
                  </pic:spPr>
                </pic:pic>
              </a:graphicData>
            </a:graphic>
          </wp:anchor>
        </w:drawing>
      </w:r>
    </w:p>
    <w:p>
      <w:pPr>
        <w:spacing w:after="0" w:line="15" w:lineRule="exact"/>
        <w:rPr>
          <w:sz w:val="20"/>
          <w:szCs w:val="20"/>
          <w:color w:val="auto"/>
        </w:rPr>
      </w:pPr>
    </w:p>
    <w:p>
      <w:pPr>
        <w:ind w:left="188"/>
        <w:spacing w:after="0"/>
        <w:rPr>
          <w:sz w:val="20"/>
          <w:szCs w:val="20"/>
          <w:color w:val="auto"/>
        </w:rPr>
      </w:pPr>
      <w:r>
        <w:rPr>
          <w:rFonts w:ascii="Arial" w:cs="Arial" w:eastAsia="Arial" w:hAnsi="Arial"/>
          <w:sz w:val="14"/>
          <w:szCs w:val="14"/>
          <w:color w:val="auto"/>
        </w:rPr>
        <w:t>Note: Some of the totals in the table above do not foot due to rounding differences</w:t>
      </w:r>
    </w:p>
    <w:p>
      <w:pPr>
        <w:spacing w:after="0" w:line="177" w:lineRule="exact"/>
        <w:rPr>
          <w:sz w:val="20"/>
          <w:szCs w:val="20"/>
          <w:color w:val="auto"/>
        </w:rPr>
      </w:pPr>
    </w:p>
    <w:p>
      <w:pPr>
        <w:ind w:left="328" w:hanging="328"/>
        <w:spacing w:after="0"/>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3" w:lineRule="exact"/>
        <w:rPr>
          <w:rFonts w:ascii="Arial" w:cs="Arial" w:eastAsia="Arial" w:hAnsi="Arial"/>
          <w:sz w:val="14"/>
          <w:szCs w:val="14"/>
          <w:color w:val="auto"/>
        </w:rPr>
      </w:pPr>
    </w:p>
    <w:p>
      <w:pPr>
        <w:ind w:left="328" w:hanging="328"/>
        <w:spacing w:after="0"/>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Fees associated with the borrowing of $175.0 million in additional principal under our first lien credit agreement during the first quarter of 2017.</w:t>
      </w:r>
    </w:p>
    <w:p>
      <w:pPr>
        <w:spacing w:after="0" w:line="1" w:lineRule="exact"/>
        <w:rPr>
          <w:rFonts w:ascii="Arial" w:cs="Arial" w:eastAsia="Arial" w:hAnsi="Arial"/>
          <w:sz w:val="14"/>
          <w:szCs w:val="14"/>
          <w:color w:val="auto"/>
        </w:rPr>
      </w:pPr>
    </w:p>
    <w:p>
      <w:pPr>
        <w:ind w:left="328" w:hanging="328"/>
        <w:spacing w:after="0"/>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the complete write-off of a cost based investment.</w:t>
      </w:r>
    </w:p>
    <w:p>
      <w:pPr>
        <w:spacing w:after="0" w:line="1" w:lineRule="exact"/>
        <w:rPr>
          <w:rFonts w:ascii="Arial" w:cs="Arial" w:eastAsia="Arial" w:hAnsi="Arial"/>
          <w:sz w:val="14"/>
          <w:szCs w:val="14"/>
          <w:color w:val="auto"/>
        </w:rPr>
      </w:pPr>
    </w:p>
    <w:p>
      <w:pPr>
        <w:ind w:left="328" w:hanging="328"/>
        <w:spacing w:after="0"/>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 w:lineRule="exact"/>
        <w:rPr>
          <w:rFonts w:ascii="Arial" w:cs="Arial" w:eastAsia="Arial" w:hAnsi="Arial"/>
          <w:sz w:val="14"/>
          <w:szCs w:val="14"/>
          <w:color w:val="auto"/>
        </w:rPr>
      </w:pPr>
    </w:p>
    <w:p>
      <w:pPr>
        <w:ind w:left="328" w:hanging="328"/>
        <w:spacing w:after="0" w:line="241" w:lineRule="auto"/>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management fees paid to Kohlberg Kravis Roberts &amp; Co. L.P. ("KKR") and Berkshire Partners LLC ("Berkshire") in accordance with our monitoring agreement with them. The monitoring agreement was terminated automatically in accordance with its terms upon the consummation of the initial public offering (the "IPO") in October 2017.</w:t>
      </w:r>
    </w:p>
    <w:p>
      <w:pPr>
        <w:jc w:val="both"/>
        <w:ind w:left="328" w:hanging="328"/>
        <w:spacing w:after="0" w:line="241" w:lineRule="auto"/>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1" w:lineRule="exact"/>
        <w:rPr>
          <w:rFonts w:ascii="Arial" w:cs="Arial" w:eastAsia="Arial" w:hAnsi="Arial"/>
          <w:sz w:val="14"/>
          <w:szCs w:val="14"/>
          <w:color w:val="auto"/>
        </w:rPr>
      </w:pPr>
    </w:p>
    <w:p>
      <w:pPr>
        <w:ind w:left="328" w:hanging="328"/>
        <w:spacing w:after="0"/>
        <w:tabs>
          <w:tab w:leader="none" w:pos="328" w:val="left"/>
        </w:tabs>
        <w:numPr>
          <w:ilvl w:val="0"/>
          <w:numId w:val="9"/>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w:t>
      </w:r>
    </w:p>
    <w:p>
      <w:pPr>
        <w:spacing w:after="0" w:line="12" w:lineRule="exact"/>
        <w:rPr>
          <w:rFonts w:ascii="Arial" w:cs="Arial" w:eastAsia="Arial" w:hAnsi="Arial"/>
          <w:sz w:val="13"/>
          <w:szCs w:val="13"/>
          <w:color w:val="auto"/>
        </w:rPr>
      </w:pPr>
    </w:p>
    <w:p>
      <w:pPr>
        <w:ind w:left="328" w:hanging="328"/>
        <w:spacing w:after="0" w:line="241" w:lineRule="auto"/>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Note 7. “Commitments and Contingencies “ in our unaudited condensed consolidated financial statements included in Part I. Item 1. of our quarterly report on Form 10-Q.</w:t>
      </w:r>
    </w:p>
    <w:p>
      <w:pPr>
        <w:ind w:left="328" w:hanging="328"/>
        <w:spacing w:after="0"/>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for the three and six months ended June 30, 2018.</w:t>
      </w:r>
    </w:p>
    <w:p>
      <w:pPr>
        <w:spacing w:after="0" w:line="1" w:lineRule="exact"/>
        <w:rPr>
          <w:rFonts w:ascii="Arial" w:cs="Arial" w:eastAsia="Arial" w:hAnsi="Arial"/>
          <w:sz w:val="14"/>
          <w:szCs w:val="14"/>
          <w:color w:val="auto"/>
        </w:rPr>
      </w:pPr>
    </w:p>
    <w:p>
      <w:pPr>
        <w:jc w:val="both"/>
        <w:ind w:left="328" w:hanging="328"/>
        <w:spacing w:after="0" w:line="241" w:lineRule="auto"/>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including our share of losses on equity method investments of $0.4 million, $0.2 million, $0.6 million and $0.3 million for the three months ended June 30, 2018 and July 1, 2017 and six months ended June 30, 2018 and July 1, 2017, respectively; the amortization impact of adjustments related to the acquisition of the Company by affiliates of KKR in March 2014 (the "KKR Acquisition") (e.g., fair value of leasehold interests) of $52,000, $(72,000), $69,000, and $(0.2) million for the three months ended June 30, 2018 and July 1, 2017 and the six months ended June 30, 2018 and July 1, 2017, respectively; expenses related to preparation for being an SEC registrant that were not directly attributable to the IPO and therefore not charged to equity of $0.7 million and $1.2 million for the three and six months ended July 1, 2017; differences between the timing of expense versus cash payments related to contributions to charitable organizations of $(0.3) million for each of the three months ended June 30, 2018 and July 1, 2017 and $(0.5) million for each of the six months ended June 30, 2018 and July 1, 2017, respectively; costs of severance and relocation of $0.3 million for each of the three months ended June 30, 2018 and July 1, 2017 and, $0.5 million and $0.3 million for the six months ended June 30, 2018 and July 1, 2017 respectively; and other expenses and adjustments totaling $0.2 million for the three months ended June 30, 2018 and $0.5 million and $71,000 for the six months ended June 30, 2018 and July 1, 2017, respectively.</w:t>
      </w:r>
    </w:p>
    <w:p>
      <w:pPr>
        <w:spacing w:after="0" w:line="3" w:lineRule="exact"/>
        <w:rPr>
          <w:rFonts w:ascii="Arial" w:cs="Arial" w:eastAsia="Arial" w:hAnsi="Arial"/>
          <w:sz w:val="14"/>
          <w:szCs w:val="14"/>
          <w:color w:val="auto"/>
        </w:rPr>
      </w:pPr>
    </w:p>
    <w:p>
      <w:pPr>
        <w:jc w:val="both"/>
        <w:ind w:left="328" w:hanging="328"/>
        <w:spacing w:after="0" w:line="245" w:lineRule="auto"/>
        <w:tabs>
          <w:tab w:leader="none" w:pos="328"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increase in the carrying values of intangible assets as a result of the KKR Acquisition of $1.9 million for each of the three months ended June 30, 2018 and July 1, 2017 and $3.7 million for each of the six months ended June 30, 2018 and July 1, 2017. Amortization of deferred financing costs is primarily associated with the March 2014 term loan borrowings in connection with the KKR Acquisition and, to a lesser extent, amortization of deferred loan discount costs associated with the May 2015 and February 2017 incremental first lien term loans and the November 2017 first lien term loan refinancing, aggregating to $0.4 million, $1.0 million, $0.8 million and $2.0 million for the three months ended June 30, 2018 and July 1, 2017 and six months ended June 30, 2018 and July 1, 2017, respectively.</w:t>
      </w:r>
    </w:p>
    <w:p>
      <w:pPr>
        <w:sectPr>
          <w:pgSz w:w="11900" w:h="16838" w:orient="portrait"/>
          <w:cols w:equalWidth="0" w:num="1">
            <w:col w:w="11088"/>
          </w:cols>
          <w:pgMar w:left="572" w:top="746" w:right="239" w:bottom="1440" w:gutter="0" w:footer="0" w:header="0"/>
        </w:sectPr>
      </w:pPr>
    </w:p>
    <w:bookmarkStart w:id="14" w:name="page15"/>
    <w:bookmarkEnd w:id="14"/>
    <w:p>
      <w:pPr>
        <w:ind w:left="328" w:hanging="328"/>
        <w:spacing w:after="0" w:line="250" w:lineRule="auto"/>
        <w:tabs>
          <w:tab w:leader="none" w:pos="3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Tax benefit associated with accounting guidance adopted at the beginning of fiscal year 2017 (Accounting Standards Update 2016-09,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requiring excess tax benefits to be recorded in earnings as discrete items in the reporting period in which they occur.</w:t>
      </w:r>
    </w:p>
    <w:p>
      <w:pPr>
        <w:ind w:left="328" w:hanging="328"/>
        <w:spacing w:after="0"/>
        <w:tabs>
          <w:tab w:leader="none" w:pos="3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annual effective tax rate.</w:t>
      </w:r>
    </w:p>
    <w:p>
      <w:pPr>
        <w:spacing w:after="0" w:line="152" w:lineRule="exact"/>
        <w:rPr>
          <w:sz w:val="20"/>
          <w:szCs w:val="20"/>
          <w:color w:val="auto"/>
        </w:rPr>
      </w:pPr>
    </w:p>
    <w:p>
      <w:pPr>
        <w:jc w:val="right"/>
        <w:ind w:left="328" w:right="3020"/>
        <w:spacing w:after="0" w:line="261" w:lineRule="auto"/>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 For the Three and Six Months Ended June 30, 2018 and July 1, 2017</w:t>
      </w:r>
    </w:p>
    <w:p>
      <w:pPr>
        <w:jc w:val="center"/>
        <w:ind w:right="312"/>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248" w:type="dxa"/>
        <w:tblCellMar>
          <w:top w:w="0" w:type="dxa"/>
          <w:left w:w="0" w:type="dxa"/>
          <w:bottom w:w="0" w:type="dxa"/>
          <w:right w:w="0" w:type="dxa"/>
        </w:tblCellMar>
      </w:tblPr>
      <w:tr>
        <w:trPr>
          <w:trHeight w:val="287"/>
        </w:trPr>
        <w:tc>
          <w:tcPr>
            <w:tcW w:w="36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ind w:left="780"/>
              <w:spacing w:after="0"/>
              <w:rPr>
                <w:sz w:val="20"/>
                <w:szCs w:val="20"/>
                <w:color w:val="auto"/>
              </w:rPr>
            </w:pPr>
            <w:r>
              <w:rPr>
                <w:rFonts w:ascii="Arial" w:cs="Arial" w:eastAsia="Arial" w:hAnsi="Arial"/>
                <w:sz w:val="18"/>
                <w:szCs w:val="18"/>
                <w:color w:val="auto"/>
              </w:rPr>
              <w:t xml:space="preserve">Comparable store sales growth </w:t>
            </w:r>
            <w:r>
              <w:rPr>
                <w:rFonts w:ascii="Arial" w:cs="Arial" w:eastAsia="Arial" w:hAnsi="Arial"/>
                <w:sz w:val="25"/>
                <w:szCs w:val="25"/>
                <w:color w:val="auto"/>
                <w:vertAlign w:val="superscript"/>
              </w:rPr>
              <w:t>(a)</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Three Months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Three Months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Six Months</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Six Months</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Ended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Ended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Ended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Ended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30, 2018</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1, 2017</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30, 2018</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July 1, 2017</w:t>
            </w:r>
          </w:p>
        </w:tc>
        <w:tc>
          <w:tcPr>
            <w:tcW w:w="1260" w:type="dxa"/>
            <w:vAlign w:val="bottom"/>
          </w:tcPr>
          <w:p>
            <w:pPr>
              <w:ind w:left="120"/>
              <w:spacing w:after="0"/>
              <w:rPr>
                <w:sz w:val="20"/>
                <w:szCs w:val="20"/>
                <w:color w:val="auto"/>
              </w:rPr>
            </w:pPr>
            <w:r>
              <w:rPr>
                <w:rFonts w:ascii="Arial" w:cs="Arial" w:eastAsia="Arial" w:hAnsi="Arial"/>
                <w:sz w:val="18"/>
                <w:szCs w:val="18"/>
                <w:color w:val="auto"/>
              </w:rPr>
              <w:t>2018 Outlook</w:t>
            </w:r>
          </w:p>
        </w:tc>
        <w:tc>
          <w:tcPr>
            <w:tcW w:w="0" w:type="dxa"/>
            <w:vAlign w:val="bottom"/>
          </w:tcPr>
          <w:p>
            <w:pPr>
              <w:spacing w:after="0"/>
              <w:rPr>
                <w:sz w:val="1"/>
                <w:szCs w:val="1"/>
                <w:color w:val="auto"/>
              </w:rPr>
            </w:pPr>
          </w:p>
        </w:tc>
      </w:tr>
      <w:tr>
        <w:trPr>
          <w:trHeight w:val="27"/>
        </w:trPr>
        <w:tc>
          <w:tcPr>
            <w:tcW w:w="3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Best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Eyeglass World</w:t>
            </w:r>
          </w:p>
        </w:tc>
        <w:tc>
          <w:tcPr>
            <w:tcW w:w="1240" w:type="dxa"/>
            <w:vAlign w:val="bottom"/>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6.3 %</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Military</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Fred Meyer</w:t>
            </w:r>
          </w:p>
        </w:tc>
        <w:tc>
          <w:tcPr>
            <w:tcW w:w="124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Legacy segment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comparable store sales growth</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3.5 - 5.5%</w:t>
            </w:r>
          </w:p>
        </w:tc>
        <w:tc>
          <w:tcPr>
            <w:tcW w:w="0" w:type="dxa"/>
            <w:vAlign w:val="bottom"/>
          </w:tcPr>
          <w:p>
            <w:pPr>
              <w:spacing w:after="0"/>
              <w:rPr>
                <w:sz w:val="1"/>
                <w:szCs w:val="1"/>
                <w:color w:val="auto"/>
              </w:rPr>
            </w:pPr>
          </w:p>
        </w:tc>
      </w:tr>
      <w:tr>
        <w:trPr>
          <w:trHeight w:val="341"/>
        </w:trPr>
        <w:tc>
          <w:tcPr>
            <w:tcW w:w="3660" w:type="dxa"/>
            <w:vAlign w:val="bottom"/>
          </w:tcPr>
          <w:p>
            <w:pPr>
              <w:ind w:left="20"/>
              <w:spacing w:after="0"/>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5"/>
                <w:szCs w:val="25"/>
                <w:color w:val="auto"/>
                <w:vertAlign w:val="superscript"/>
              </w:rPr>
              <w:t>(b)</w:t>
            </w:r>
          </w:p>
        </w:tc>
        <w:tc>
          <w:tcPr>
            <w:tcW w:w="124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24"/>
                <w:szCs w:val="24"/>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3 - 5%</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328" w:hanging="328"/>
        <w:spacing w:after="0" w:line="264" w:lineRule="auto"/>
        <w:tabs>
          <w:tab w:leader="none" w:pos="328"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Total comparable store sales calculated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 Comparable store sales growth for America's Best, Eyeglass World, Military, and Fred Meyer is calculated based on cash basis revenues consistent with what the Chief Operating Decision Maker reviews, and consistent with reportable segment revenues presented in Note 8. "Segment Reporting" in our condensed consolidated financial statements included in Part I. Item 1. of our quarterly report on Form 10-Q, with the exception of the legacy segment, which is adjusted as noted in (b) (ii) below.</w:t>
      </w:r>
    </w:p>
    <w:p>
      <w:pPr>
        <w:jc w:val="both"/>
        <w:ind w:left="328" w:hanging="328"/>
        <w:spacing w:after="0" w:line="265" w:lineRule="auto"/>
        <w:tabs>
          <w:tab w:leader="none" w:pos="328"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1.5% and an increase of 0.8% from total comparable store sales growth based on consolidated net revenue for the three months ended June 30, 2018 and July 1, 2017, respectively, and a decrease of 1.0% and 0.1% from total comparable store sales growth based on consolidated net revenue for the six months ended June 30, 2018 and July 1, 2017, respectively, and (ii) adjusted comparable store sales growth includes retail sales to the legacy partner’s customers (rather than the revenues recognized consistent with the management and services agreement), resulting in a decrease of 0.1% and 0.2% from total comparable store sales growth based on consolidated net revenue for the three months ended June 30, 2018 and July 1, 2017, respectively, and a decrease of 0.4% from total comparable store sales growth based on consolidated net revenue for the the six months ended July 1, 2017.</w:t>
      </w:r>
    </w:p>
    <w:p>
      <w:pPr>
        <w:sectPr>
          <w:pgSz w:w="11900" w:h="16838" w:orient="portrait"/>
          <w:cols w:equalWidth="0" w:num="1">
            <w:col w:w="11088"/>
          </w:cols>
          <w:pgMar w:left="572"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Investors: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David Mann, CFA, Vice President of Investor Relations</w:t>
      </w:r>
    </w:p>
    <w:p>
      <w:pPr>
        <w:spacing w:after="0" w:line="32" w:lineRule="exact"/>
        <w:rPr>
          <w:sz w:val="20"/>
          <w:szCs w:val="20"/>
          <w:color w:val="auto"/>
        </w:rPr>
      </w:pPr>
    </w:p>
    <w:p>
      <w:pPr>
        <w:ind w:right="7439" w:firstLine="8"/>
        <w:spacing w:after="0" w:line="323" w:lineRule="auto"/>
        <w:tabs>
          <w:tab w:leader="none" w:pos="4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Kristina Gross, Director of Communications</w:t>
      </w:r>
    </w:p>
    <w:p>
      <w:pPr>
        <w:spacing w:after="0" w:line="9" w:lineRule="exact"/>
        <w:rPr>
          <w:sz w:val="20"/>
          <w:szCs w:val="20"/>
          <w:color w:val="auto"/>
        </w:rPr>
      </w:pPr>
    </w:p>
    <w:p>
      <w:pPr>
        <w:ind w:right="7659" w:firstLine="8"/>
        <w:spacing w:after="0" w:line="323" w:lineRule="auto"/>
        <w:tabs>
          <w:tab w:leader="none" w:pos="4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448-2355 Kristina.gross@nationalvision.com</w:t>
      </w:r>
    </w:p>
    <w:sectPr>
      <w:pgSz w:w="11900" w:h="16838" w:orient="portrait"/>
      <w:cols w:equalWidth="0" w:num="1">
        <w:col w:w="10219"/>
      </w:cols>
      <w:pgMar w:left="2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2"/>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470"/>
    </w:lvl>
  </w:abstractNum>
  <w:abstractNum w:abstractNumId="12">
    <w:nsid w:val="3352255A"/>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2019-12-28T19:34:05Z</dcterms:created>
  <dcterms:modified xsi:type="dcterms:W3CDTF">2019-12-28T19:34:05Z</dcterms:modified>
</cp:coreProperties>
</file>