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540"/>
        <w:spacing w:after="0"/>
        <w:rPr>
          <w:sz w:val="20"/>
          <w:szCs w:val="20"/>
          <w:color w:val="auto"/>
        </w:rPr>
      </w:pPr>
      <w:r>
        <w:rPr>
          <w:rFonts w:ascii="Arial" w:cs="Arial" w:eastAsia="Arial" w:hAnsi="Arial"/>
          <w:sz w:val="18"/>
          <w:szCs w:val="18"/>
          <w:b w:val="1"/>
          <w:bCs w:val="1"/>
          <w:color w:val="auto"/>
        </w:rPr>
        <w:t>_______________________________________________________________________</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4"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_______________________________________________________________________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Earliest Event report):</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July 19, 2019</w:t>
      </w:r>
    </w:p>
    <w:p>
      <w:pPr>
        <w:spacing w:after="0" w:line="27"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_______________________________________________________________________</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_______________________________________________________________________</w:t>
      </w:r>
    </w:p>
    <w:p>
      <w:pPr>
        <w:spacing w:after="0" w:line="207"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800" w:type="dxa"/>
            <w:vAlign w:val="bottom"/>
          </w:tcPr>
          <w:p>
            <w:pPr>
              <w:jc w:val="center"/>
              <w:ind w:right="890"/>
              <w:spacing w:after="0"/>
              <w:rPr>
                <w:sz w:val="20"/>
                <w:szCs w:val="20"/>
                <w:color w:val="auto"/>
              </w:rPr>
            </w:pPr>
            <w:r>
              <w:rPr>
                <w:rFonts w:ascii="Arial" w:cs="Arial" w:eastAsia="Arial" w:hAnsi="Arial"/>
                <w:sz w:val="18"/>
                <w:szCs w:val="18"/>
                <w:b w:val="1"/>
                <w:bCs w:val="1"/>
                <w:color w:val="auto"/>
                <w:w w:val="93"/>
              </w:rPr>
              <w:t>Delaware</w:t>
            </w:r>
          </w:p>
        </w:tc>
        <w:tc>
          <w:tcPr>
            <w:tcW w:w="4860" w:type="dxa"/>
            <w:vAlign w:val="bottom"/>
          </w:tcPr>
          <w:p>
            <w:pPr>
              <w:jc w:val="center"/>
              <w:ind w:right="1390"/>
              <w:spacing w:after="0"/>
              <w:rPr>
                <w:sz w:val="20"/>
                <w:szCs w:val="20"/>
                <w:color w:val="auto"/>
              </w:rPr>
            </w:pPr>
            <w:r>
              <w:rPr>
                <w:rFonts w:ascii="Arial" w:cs="Arial" w:eastAsia="Arial" w:hAnsi="Arial"/>
                <w:sz w:val="18"/>
                <w:szCs w:val="18"/>
                <w:b w:val="1"/>
                <w:bCs w:val="1"/>
                <w:color w:val="auto"/>
              </w:rPr>
              <w:t>46</w:t>
            </w:r>
            <w:r>
              <w:rPr>
                <w:rFonts w:ascii="Arial" w:cs="Arial" w:eastAsia="Arial" w:hAnsi="Arial"/>
                <w:sz w:val="18"/>
                <w:szCs w:val="18"/>
                <w:color w:val="auto"/>
              </w:rPr>
              <w:t>-</w:t>
            </w:r>
            <w:r>
              <w:rPr>
                <w:rFonts w:ascii="Arial" w:cs="Arial" w:eastAsia="Arial" w:hAnsi="Arial"/>
                <w:sz w:val="18"/>
                <w:szCs w:val="18"/>
                <w:b w:val="1"/>
                <w:bCs w:val="1"/>
                <w:color w:val="auto"/>
              </w:rPr>
              <w:t>4841717</w:t>
            </w:r>
          </w:p>
        </w:tc>
        <w:tc>
          <w:tcPr>
            <w:tcW w:w="0" w:type="dxa"/>
            <w:vAlign w:val="bottom"/>
          </w:tcPr>
          <w:p>
            <w:pPr>
              <w:spacing w:after="0"/>
              <w:rPr>
                <w:sz w:val="1"/>
                <w:szCs w:val="1"/>
                <w:color w:val="auto"/>
              </w:rPr>
            </w:pPr>
          </w:p>
        </w:tc>
      </w:tr>
      <w:tr>
        <w:trPr>
          <w:trHeight w:val="216"/>
        </w:trPr>
        <w:tc>
          <w:tcPr>
            <w:tcW w:w="4800" w:type="dxa"/>
            <w:vAlign w:val="bottom"/>
          </w:tcPr>
          <w:p>
            <w:pPr>
              <w:jc w:val="center"/>
              <w:ind w:right="890"/>
              <w:spacing w:after="0"/>
              <w:rPr>
                <w:sz w:val="20"/>
                <w:szCs w:val="20"/>
                <w:color w:val="auto"/>
              </w:rPr>
            </w:pPr>
            <w:r>
              <w:rPr>
                <w:rFonts w:ascii="Arial" w:cs="Arial" w:eastAsia="Arial" w:hAnsi="Arial"/>
                <w:sz w:val="18"/>
                <w:szCs w:val="18"/>
                <w:color w:val="auto"/>
                <w:w w:val="93"/>
              </w:rPr>
              <w:t>(State or other jurisdiction of</w:t>
            </w:r>
          </w:p>
        </w:tc>
        <w:tc>
          <w:tcPr>
            <w:tcW w:w="4860" w:type="dxa"/>
            <w:vAlign w:val="bottom"/>
          </w:tcPr>
          <w:p>
            <w:pPr>
              <w:jc w:val="center"/>
              <w:ind w:left="89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4800" w:type="dxa"/>
            <w:vAlign w:val="bottom"/>
          </w:tcPr>
          <w:p>
            <w:pPr>
              <w:jc w:val="center"/>
              <w:ind w:right="890"/>
              <w:spacing w:after="0"/>
              <w:rPr>
                <w:sz w:val="20"/>
                <w:szCs w:val="20"/>
                <w:color w:val="auto"/>
              </w:rPr>
            </w:pPr>
            <w:r>
              <w:rPr>
                <w:rFonts w:ascii="Arial" w:cs="Arial" w:eastAsia="Arial" w:hAnsi="Arial"/>
                <w:sz w:val="18"/>
                <w:szCs w:val="18"/>
                <w:color w:val="auto"/>
                <w:w w:val="93"/>
              </w:rPr>
              <w:t>incorporation or organization)</w:t>
            </w:r>
          </w:p>
        </w:tc>
        <w:tc>
          <w:tcPr>
            <w:tcW w:w="4860" w:type="dxa"/>
            <w:vAlign w:val="bottom"/>
          </w:tcPr>
          <w:p>
            <w:pPr>
              <w:jc w:val="center"/>
              <w:ind w:left="91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14"/>
        </w:trPr>
        <w:tc>
          <w:tcPr>
            <w:tcW w:w="4800" w:type="dxa"/>
            <w:vAlign w:val="bottom"/>
          </w:tcPr>
          <w:p>
            <w:pPr>
              <w:jc w:val="center"/>
              <w:ind w:right="890"/>
              <w:spacing w:after="0"/>
              <w:rPr>
                <w:sz w:val="20"/>
                <w:szCs w:val="20"/>
                <w:color w:val="auto"/>
              </w:rPr>
            </w:pPr>
            <w:r>
              <w:rPr>
                <w:rFonts w:ascii="Arial" w:cs="Arial" w:eastAsia="Arial" w:hAnsi="Arial"/>
                <w:sz w:val="18"/>
                <w:szCs w:val="18"/>
                <w:b w:val="1"/>
                <w:bCs w:val="1"/>
                <w:color w:val="auto"/>
                <w:w w:val="89"/>
              </w:rPr>
              <w:t>2435 Commerce Ave,</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0" w:type="dxa"/>
            <w:vAlign w:val="bottom"/>
          </w:tcPr>
          <w:p>
            <w:pPr>
              <w:jc w:val="center"/>
              <w:ind w:right="890"/>
              <w:spacing w:after="0"/>
              <w:rPr>
                <w:sz w:val="20"/>
                <w:szCs w:val="20"/>
                <w:color w:val="auto"/>
              </w:rPr>
            </w:pPr>
            <w:r>
              <w:rPr>
                <w:rFonts w:ascii="Arial" w:cs="Arial" w:eastAsia="Arial" w:hAnsi="Arial"/>
                <w:sz w:val="18"/>
                <w:szCs w:val="18"/>
                <w:b w:val="1"/>
                <w:bCs w:val="1"/>
                <w:color w:val="auto"/>
                <w:w w:val="90"/>
              </w:rPr>
              <w:t>Building 2200</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890"/>
              <w:spacing w:after="0"/>
              <w:rPr>
                <w:sz w:val="20"/>
                <w:szCs w:val="20"/>
                <w:color w:val="auto"/>
              </w:rPr>
            </w:pPr>
            <w:r>
              <w:rPr>
                <w:rFonts w:ascii="Arial" w:cs="Arial" w:eastAsia="Arial" w:hAnsi="Arial"/>
                <w:sz w:val="18"/>
                <w:szCs w:val="18"/>
                <w:b w:val="1"/>
                <w:bCs w:val="1"/>
                <w:color w:val="auto"/>
                <w:w w:val="93"/>
              </w:rPr>
              <w:t>Duluth, Georgia</w:t>
            </w:r>
          </w:p>
        </w:tc>
        <w:tc>
          <w:tcPr>
            <w:tcW w:w="4860" w:type="dxa"/>
            <w:vAlign w:val="bottom"/>
          </w:tcPr>
          <w:p>
            <w:pPr>
              <w:jc w:val="right"/>
              <w:ind w:right="1630"/>
              <w:spacing w:after="0"/>
              <w:rPr>
                <w:sz w:val="20"/>
                <w:szCs w:val="20"/>
                <w:color w:val="auto"/>
              </w:rPr>
            </w:pPr>
            <w:r>
              <w:rPr>
                <w:rFonts w:ascii="Arial" w:cs="Arial" w:eastAsia="Arial" w:hAnsi="Arial"/>
                <w:sz w:val="18"/>
                <w:szCs w:val="18"/>
                <w:b w:val="1"/>
                <w:bCs w:val="1"/>
                <w:color w:val="auto"/>
              </w:rPr>
              <w:t>30096</w:t>
            </w:r>
          </w:p>
        </w:tc>
        <w:tc>
          <w:tcPr>
            <w:tcW w:w="0" w:type="dxa"/>
            <w:vAlign w:val="bottom"/>
          </w:tcPr>
          <w:p>
            <w:pPr>
              <w:spacing w:after="0"/>
              <w:rPr>
                <w:sz w:val="1"/>
                <w:szCs w:val="1"/>
                <w:color w:val="auto"/>
              </w:rPr>
            </w:pPr>
          </w:p>
        </w:tc>
      </w:tr>
      <w:tr>
        <w:trPr>
          <w:trHeight w:val="230"/>
        </w:trPr>
        <w:tc>
          <w:tcPr>
            <w:tcW w:w="4800" w:type="dxa"/>
            <w:vAlign w:val="bottom"/>
          </w:tcPr>
          <w:p>
            <w:pPr>
              <w:jc w:val="center"/>
              <w:ind w:right="890"/>
              <w:spacing w:after="0"/>
              <w:rPr>
                <w:sz w:val="20"/>
                <w:szCs w:val="20"/>
                <w:color w:val="auto"/>
              </w:rPr>
            </w:pPr>
            <w:r>
              <w:rPr>
                <w:rFonts w:ascii="Arial" w:cs="Arial" w:eastAsia="Arial" w:hAnsi="Arial"/>
                <w:sz w:val="18"/>
                <w:szCs w:val="18"/>
                <w:color w:val="auto"/>
                <w:w w:val="92"/>
              </w:rPr>
              <w:t>(Address of principal executive offices)</w:t>
            </w:r>
          </w:p>
        </w:tc>
        <w:tc>
          <w:tcPr>
            <w:tcW w:w="4860" w:type="dxa"/>
            <w:vAlign w:val="bottom"/>
          </w:tcPr>
          <w:p>
            <w:pPr>
              <w:jc w:val="center"/>
              <w:ind w:left="8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418"/>
        </w:trPr>
        <w:tc>
          <w:tcPr>
            <w:tcW w:w="4800" w:type="dxa"/>
            <w:vAlign w:val="bottom"/>
            <w:vMerge w:val="restart"/>
          </w:tcPr>
          <w:p>
            <w:pPr>
              <w:jc w:val="center"/>
              <w:ind w:right="890"/>
              <w:spacing w:after="0"/>
              <w:rPr>
                <w:sz w:val="20"/>
                <w:szCs w:val="20"/>
                <w:color w:val="auto"/>
              </w:rPr>
            </w:pPr>
            <w:r>
              <w:rPr>
                <w:rFonts w:ascii="Arial" w:cs="Arial" w:eastAsia="Arial" w:hAnsi="Arial"/>
                <w:sz w:val="18"/>
                <w:szCs w:val="18"/>
                <w:b w:val="1"/>
                <w:bCs w:val="1"/>
                <w:color w:val="auto"/>
                <w:w w:val="92"/>
              </w:rPr>
              <w:t>(770) 822</w:t>
            </w:r>
            <w:r>
              <w:rPr>
                <w:rFonts w:ascii="Arial" w:cs="Arial" w:eastAsia="Arial" w:hAnsi="Arial"/>
                <w:sz w:val="18"/>
                <w:szCs w:val="18"/>
                <w:color w:val="auto"/>
                <w:w w:val="92"/>
              </w:rPr>
              <w:t>-</w:t>
            </w:r>
            <w:r>
              <w:rPr>
                <w:rFonts w:ascii="Arial" w:cs="Arial" w:eastAsia="Arial" w:hAnsi="Arial"/>
                <w:sz w:val="18"/>
                <w:szCs w:val="18"/>
                <w:b w:val="1"/>
                <w:bCs w:val="1"/>
                <w:color w:val="auto"/>
                <w:w w:val="92"/>
              </w:rPr>
              <w:t>3600</w:t>
            </w:r>
          </w:p>
        </w:tc>
        <w:tc>
          <w:tcPr>
            <w:tcW w:w="486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Not Applicable</w:t>
            </w: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4860" w:type="dxa"/>
            <w:vAlign w:val="bottom"/>
          </w:tcPr>
          <w:p>
            <w:pPr>
              <w:jc w:val="center"/>
              <w:ind w:left="910"/>
              <w:spacing w:after="0"/>
              <w:rPr>
                <w:sz w:val="20"/>
                <w:szCs w:val="20"/>
                <w:color w:val="auto"/>
              </w:rPr>
            </w:pPr>
            <w:r>
              <w:rPr>
                <w:rFonts w:ascii="Arial" w:cs="Arial" w:eastAsia="Arial" w:hAnsi="Arial"/>
                <w:sz w:val="18"/>
                <w:szCs w:val="18"/>
                <w:color w:val="auto"/>
                <w:w w:val="90"/>
              </w:rPr>
              <w:t>(Former name, former address and former fiscal year,</w:t>
            </w:r>
          </w:p>
        </w:tc>
        <w:tc>
          <w:tcPr>
            <w:tcW w:w="0" w:type="dxa"/>
            <w:vAlign w:val="bottom"/>
          </w:tcPr>
          <w:p>
            <w:pPr>
              <w:spacing w:after="0"/>
              <w:rPr>
                <w:sz w:val="1"/>
                <w:szCs w:val="1"/>
                <w:color w:val="auto"/>
              </w:rPr>
            </w:pPr>
          </w:p>
        </w:tc>
      </w:tr>
      <w:tr>
        <w:trPr>
          <w:trHeight w:val="230"/>
        </w:trPr>
        <w:tc>
          <w:tcPr>
            <w:tcW w:w="4800" w:type="dxa"/>
            <w:vAlign w:val="bottom"/>
          </w:tcPr>
          <w:p>
            <w:pPr>
              <w:jc w:val="center"/>
              <w:ind w:right="890"/>
              <w:spacing w:after="0"/>
              <w:rPr>
                <w:sz w:val="20"/>
                <w:szCs w:val="20"/>
                <w:color w:val="auto"/>
              </w:rPr>
            </w:pPr>
            <w:r>
              <w:rPr>
                <w:rFonts w:ascii="Arial" w:cs="Arial" w:eastAsia="Arial" w:hAnsi="Arial"/>
                <w:sz w:val="18"/>
                <w:szCs w:val="18"/>
                <w:color w:val="auto"/>
                <w:w w:val="90"/>
              </w:rPr>
              <w:t>(Registrant’s telephone number, including area code)</w:t>
            </w:r>
          </w:p>
        </w:tc>
        <w:tc>
          <w:tcPr>
            <w:tcW w:w="4860" w:type="dxa"/>
            <w:vAlign w:val="bottom"/>
          </w:tcPr>
          <w:p>
            <w:pPr>
              <w:jc w:val="center"/>
              <w:ind w:left="890"/>
              <w:spacing w:after="0"/>
              <w:rPr>
                <w:sz w:val="20"/>
                <w:szCs w:val="20"/>
                <w:color w:val="auto"/>
              </w:rPr>
            </w:pPr>
            <w:r>
              <w:rPr>
                <w:rFonts w:ascii="Arial" w:cs="Arial" w:eastAsia="Arial" w:hAnsi="Arial"/>
                <w:sz w:val="18"/>
                <w:szCs w:val="18"/>
                <w:color w:val="auto"/>
                <w:w w:val="90"/>
              </w:rPr>
              <w:t>if changed since last report)</w:t>
            </w:r>
          </w:p>
        </w:tc>
        <w:tc>
          <w:tcPr>
            <w:tcW w:w="0" w:type="dxa"/>
            <w:vAlign w:val="bottom"/>
          </w:tcPr>
          <w:p>
            <w:pPr>
              <w:spacing w:after="0"/>
              <w:rPr>
                <w:sz w:val="1"/>
                <w:szCs w:val="1"/>
                <w:color w:val="auto"/>
              </w:rPr>
            </w:pPr>
          </w:p>
        </w:tc>
      </w:tr>
    </w:tbl>
    <w:p>
      <w:pPr>
        <w:ind w:left="2520"/>
        <w:spacing w:after="0"/>
        <w:rPr>
          <w:sz w:val="20"/>
          <w:szCs w:val="20"/>
          <w:color w:val="auto"/>
        </w:rPr>
      </w:pPr>
      <w:r>
        <w:rPr>
          <w:rFonts w:ascii="Arial" w:cs="Arial" w:eastAsia="Arial" w:hAnsi="Arial"/>
          <w:sz w:val="18"/>
          <w:szCs w:val="18"/>
          <w:b w:val="1"/>
          <w:bCs w:val="1"/>
          <w:color w:val="auto"/>
        </w:rPr>
        <w:t>_______________________________________________________________________</w:t>
      </w:r>
    </w:p>
    <w:p>
      <w:pPr>
        <w:spacing w:after="0" w:line="21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51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Title of each class</w:t>
            </w: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$0.01 per share</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EYE</w:t>
            </w:r>
          </w:p>
        </w:tc>
        <w:tc>
          <w:tcPr>
            <w:tcW w:w="364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29"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On July 19, 2019, National Vision Holdings, Inc. (the “Company”) announced that, effective July 29, 2019, Melissa Rasmussen will be joining the Company as Chief Accounting Officer, to succeed Chris Beasley, currently Senior Vice President, Accounting and Controller. Mr. Beasley will be stepping down from the Chief Accounting Officer position effective July 29, 2019 and will remain at the Company through September 4, 2019 to help support Ms. Rasmussen’s transition.</w:t>
      </w:r>
    </w:p>
    <w:p>
      <w:pPr>
        <w:spacing w:after="0" w:line="187"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Ms. Rasmussen, age 42, has served as the Vice President and Corporate Controller for Lexmark International, Inc. in Lexington, Kentucky since November 2016. From February 2012 until November 2016, she served as Director of SEC Reporting and Corporate Consolidation for Lexmark International, Inc. Ms. Rasmussen holds a bachelor’s of science in accounting from the University of Kentucky and is a Certified Public Accountant.</w:t>
      </w:r>
    </w:p>
    <w:p>
      <w:pPr>
        <w:spacing w:after="0" w:line="14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Compensation Committee of the Board approved a compensatory arrangement with Ms. Rasmussen in connection with her appointment to the position of Chief Accounting Officer. The compensation arrangement with Ms. Rasmussen, effective as of the date of her appointment on July 29, 2019, includes payment to Ms. Rasmussen of (i) an annual base salary of $270,000, (ii) an annual bonus opportunity with a target amount of 37.50% of her base salary (which, for fiscal year 2019, will be pro-rated for time served as Chief Accounting Officer); (iii) a cash sign-on bonus of $25,000 to be paid within 30 days of the effective date of her appointment; and (iv) beginning in fiscal year 2019, subject to the Compensation Committee of the Board’s discretion, annual long term equity incentive awards with a target value equal to $160,000, 50% payable in performance share units and 50% payable in stock options.</w:t>
      </w:r>
    </w:p>
    <w:p>
      <w:pPr>
        <w:spacing w:after="0" w:line="16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selection of Ms. Rasmussen to serve as Chief Accounting Officer was not pursuant to any arrangement or understanding with respect to any other person. There are no family relationships between Ms. Rasmussen and any director or executive officer of the Company, and there are no transactions between Ms. Rasmussen and the Company that would be required to be reported under Item 404(a) of Regulation 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A copy of the press release issued by the Company announcing the appointment of Ms. Rasmussen and the departure of Mr. Beasley described in Item 5.02 is furnished as Exhibit 99.1 to this Current Report and is incorporated herein by reference.</w:t>
      </w:r>
    </w:p>
    <w:p>
      <w:pPr>
        <w:spacing w:after="0" w:line="170"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The information included in this Current Report on Form 8-K is being furnished under Item 7.01, “Regulation FD Disclosure” of Form 8-K. As such, the information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25" w:lineRule="exact"/>
        <w:rPr>
          <w:sz w:val="20"/>
          <w:szCs w:val="20"/>
          <w:color w:val="auto"/>
        </w:rPr>
      </w:pPr>
    </w:p>
    <w:p>
      <w:pPr>
        <w:spacing w:after="0"/>
        <w:tabs>
          <w:tab w:leader="none" w:pos="1140" w:val="left"/>
        </w:tabs>
        <w:rPr>
          <w:rFonts w:ascii="Arial" w:cs="Arial" w:eastAsia="Arial" w:hAnsi="Arial"/>
          <w:sz w:val="16"/>
          <w:szCs w:val="16"/>
          <w:u w:val="single" w:color="auto"/>
          <w:color w:val="auto"/>
        </w:rPr>
      </w:pPr>
      <w:hyperlink w:anchor="page4">
        <w:r>
          <w:rPr>
            <w:rFonts w:ascii="Arial" w:cs="Arial" w:eastAsia="Arial" w:hAnsi="Arial"/>
            <w:sz w:val="18"/>
            <w:szCs w:val="18"/>
            <w:u w:val="single" w:color="auto"/>
            <w:color w:val="auto"/>
          </w:rPr>
          <w:t>99.1</w:t>
        </w:r>
      </w:hyperlink>
      <w:r>
        <w:rPr>
          <w:rFonts w:ascii="Arial" w:cs="Arial" w:eastAsia="Arial" w:hAnsi="Arial"/>
          <w:sz w:val="18"/>
          <w:szCs w:val="18"/>
          <w:u w:val="single" w:color="auto"/>
          <w:color w:val="auto"/>
        </w:rPr>
        <w:tab/>
      </w:r>
      <w:hyperlink w:anchor="page4">
        <w:r>
          <w:rPr>
            <w:rFonts w:ascii="Arial" w:cs="Arial" w:eastAsia="Arial" w:hAnsi="Arial"/>
            <w:sz w:val="16"/>
            <w:szCs w:val="16"/>
            <w:u w:val="single" w:color="auto"/>
            <w:color w:val="auto"/>
          </w:rPr>
          <w:t>National Vision Holdings, Inc. Press Release dated July 19,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National Vision Holdings, Inc.</w:t>
            </w: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July 19, 2019</w:t>
            </w: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Brandman</w:t>
            </w:r>
          </w:p>
        </w:tc>
      </w:tr>
      <w:tr>
        <w:trPr>
          <w:trHeight w:val="195"/>
        </w:trPr>
        <w:tc>
          <w:tcPr>
            <w:tcW w:w="3560" w:type="dxa"/>
            <w:vAlign w:val="bottom"/>
          </w:tcPr>
          <w:p>
            <w:pPr>
              <w:spacing w:after="0"/>
              <w:rPr>
                <w:sz w:val="16"/>
                <w:szCs w:val="16"/>
                <w:color w:val="auto"/>
              </w:rPr>
            </w:pPr>
          </w:p>
        </w:tc>
        <w:tc>
          <w:tcPr>
            <w:tcW w:w="2720" w:type="dxa"/>
            <w:vAlign w:val="bottom"/>
          </w:tcPr>
          <w:p>
            <w:pPr>
              <w:ind w:left="216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Jared Brandman</w:t>
            </w:r>
          </w:p>
        </w:tc>
      </w:tr>
      <w:tr>
        <w:trPr>
          <w:trHeight w:val="230"/>
        </w:trPr>
        <w:tc>
          <w:tcPr>
            <w:tcW w:w="356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675"/>
        </w:trPr>
        <w:tc>
          <w:tcPr>
            <w:tcW w:w="35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217930" cy="934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7930" cy="93472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Kristina Gross, National Vision,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Kristina.gross@nationalvision.com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(470) 448-2355</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David Mann, National Vision Holdings,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David.mann@nationalvision.com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(470) 448-2448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Welcomes Melissa Rasmussen as Chief Accounting Officer</w:t>
      </w:r>
    </w:p>
    <w:p>
      <w:pPr>
        <w:spacing w:after="0" w:line="225" w:lineRule="exact"/>
        <w:rPr>
          <w:sz w:val="20"/>
          <w:szCs w:val="20"/>
          <w:color w:val="auto"/>
        </w:rPr>
      </w:pPr>
    </w:p>
    <w:p>
      <w:pPr>
        <w:jc w:val="both"/>
        <w:ind w:right="80"/>
        <w:spacing w:after="0" w:line="289" w:lineRule="auto"/>
        <w:rPr>
          <w:sz w:val="20"/>
          <w:szCs w:val="20"/>
          <w:color w:val="auto"/>
        </w:rPr>
      </w:pPr>
      <w:r>
        <w:rPr>
          <w:rFonts w:ascii="Arial" w:cs="Arial" w:eastAsia="Arial" w:hAnsi="Arial"/>
          <w:sz w:val="17"/>
          <w:szCs w:val="17"/>
          <w:b w:val="1"/>
          <w:bCs w:val="1"/>
          <w:color w:val="auto"/>
        </w:rPr>
        <w:t xml:space="preserve">Duluth, Ga. (July 19, 2019) </w:t>
      </w:r>
      <w:r>
        <w:rPr>
          <w:rFonts w:ascii="Arial" w:cs="Arial" w:eastAsia="Arial" w:hAnsi="Arial"/>
          <w:sz w:val="17"/>
          <w:szCs w:val="17"/>
          <w:color w:val="auto"/>
        </w:rPr>
        <w:t>– National Vision Holdings, Inc. (NASDAQ: EYE), one of the nation’s largest optical retailers providing quality, affordable eye</w:t>
      </w:r>
      <w:r>
        <w:rPr>
          <w:rFonts w:ascii="Arial" w:cs="Arial" w:eastAsia="Arial" w:hAnsi="Arial"/>
          <w:sz w:val="17"/>
          <w:szCs w:val="17"/>
          <w:b w:val="1"/>
          <w:bCs w:val="1"/>
          <w:color w:val="auto"/>
        </w:rPr>
        <w:t xml:space="preserve"> </w:t>
      </w:r>
      <w:r>
        <w:rPr>
          <w:rFonts w:ascii="Arial" w:cs="Arial" w:eastAsia="Arial" w:hAnsi="Arial"/>
          <w:sz w:val="17"/>
          <w:szCs w:val="17"/>
          <w:color w:val="auto"/>
        </w:rPr>
        <w:t>care and eyewear, today announced that Melissa Rasmussen will join the company as Chief Accounting Officer, reporting to Chief Financial Officer Patrick Moore, effective July 29, 2019. Rasmussen will be responsible for overseeing all aspects of the Company’s accounting function.</w:t>
      </w:r>
    </w:p>
    <w:p>
      <w:pPr>
        <w:spacing w:after="0" w:line="1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excited to welcome Melissa to the National Vision team,” said Patrick Moore, Chief Financial Officer of National Vision. “She brings more than two decades of experience in management of accounting processes and controls, financial planning and execution, regulatory compliance and much more. Melissa will be a great addition to our finance and accounting team.”</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Rasmussen comes to National Vision from Lexmark International, Inc., where she served most recently as Vice President and Corporate Controller. During her time with Lexmark, she held numerous finance and accounting leadership roles, including North America Controller, Global Consolidation Manager and Director of SEC Reporting and Consolidation, among others.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am delighted to join the team at National Vision,” said Rasmussen. “National Vision is a mission-focused company with a long and successful trajectory of growth, and I look forward to bringing my skills to the team to help continue that success.”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Rasmussen will succeed Chris Beasley, Senior Vice President, Accounting and Controller, who is leaving the company to pursue other endeavors. Beasley will remain at National Vision for a period of time to help support Rasmussen’s transition into the role.</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ind w:right="320"/>
        <w:spacing w:after="0" w:line="264" w:lineRule="auto"/>
        <w:rPr>
          <w:sz w:val="20"/>
          <w:szCs w:val="20"/>
          <w:color w:val="auto"/>
        </w:rPr>
      </w:pPr>
      <w:r>
        <w:rPr>
          <w:rFonts w:ascii="Arial" w:cs="Arial" w:eastAsia="Arial" w:hAnsi="Arial"/>
          <w:sz w:val="18"/>
          <w:szCs w:val="18"/>
          <w:color w:val="auto"/>
        </w:rPr>
        <w:t>“We cannot thank Chris enough for the enormous contributions he made during his time at National Vision,” continued Moore. “His leadership, professionalism, and exemplary teamwork have made us a stronger, better company, and we are so grateful for his service. We wish him all the best in his next chapter.”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National Vision Holdings, Inc. is one of the largest optical retail companies in the United States with more than 1,100 retail stores in 44 states plus the District of Columbia and Puerto Rico. With a mission of helping people by making quality eye care and eyewear more affordable and accessible, the company operates five retail brands: </w:t>
      </w:r>
      <w:r>
        <w:rPr>
          <w:rFonts w:ascii="Arial" w:cs="Arial" w:eastAsia="Arial" w:hAnsi="Arial"/>
          <w:sz w:val="18"/>
          <w:szCs w:val="18"/>
          <w:u w:val="single" w:color="auto"/>
          <w:color w:val="auto"/>
        </w:rPr>
        <w:t>America’s Best Contacts &amp; Eyeglasses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Eyeglass World</w:t>
      </w:r>
      <w:r>
        <w:rPr>
          <w:rFonts w:ascii="Arial" w:cs="Arial" w:eastAsia="Arial" w:hAnsi="Arial"/>
          <w:sz w:val="18"/>
          <w:szCs w:val="18"/>
          <w:color w:val="auto"/>
        </w:rPr>
        <w:t xml:space="preserve">, </w:t>
      </w:r>
      <w:r>
        <w:rPr>
          <w:rFonts w:ascii="Arial" w:cs="Arial" w:eastAsia="Arial" w:hAnsi="Arial"/>
          <w:sz w:val="18"/>
          <w:szCs w:val="18"/>
          <w:u w:val="single" w:color="auto"/>
          <w:color w:val="auto"/>
        </w:rPr>
        <w:t>Vision Centers</w:t>
      </w:r>
      <w:r>
        <w:rPr>
          <w:rFonts w:ascii="Arial" w:cs="Arial" w:eastAsia="Arial" w:hAnsi="Arial"/>
          <w:sz w:val="18"/>
          <w:szCs w:val="18"/>
          <w:color w:val="auto"/>
        </w:rPr>
        <w:t xml:space="preserve"> inside select Walmart stores, Vista Opticals inside Fred Meyer stores and on </w:t>
      </w:r>
      <w:r>
        <w:rPr>
          <w:rFonts w:ascii="Arial" w:cs="Arial" w:eastAsia="Arial" w:hAnsi="Arial"/>
          <w:sz w:val="18"/>
          <w:szCs w:val="18"/>
          <w:u w:val="single" w:color="auto"/>
          <w:color w:val="auto"/>
        </w:rPr>
        <w:t>select military bases</w:t>
      </w:r>
      <w:r>
        <w:rPr>
          <w:rFonts w:ascii="Arial" w:cs="Arial" w:eastAsia="Arial" w:hAnsi="Arial"/>
          <w:sz w:val="18"/>
          <w:szCs w:val="18"/>
          <w:color w:val="auto"/>
        </w:rPr>
        <w:t xml:space="preserve">, and several e-commerce websites, offering a variety of products and services for customers’ eye care needs. For more information, please visit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2019-12-28T10:08:08Z</dcterms:created>
  <dcterms:modified xsi:type="dcterms:W3CDTF">2019-12-28T10:08:08Z</dcterms:modified>
</cp:coreProperties>
</file>