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11/18/2021</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5,488</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jc w:val="center"/>
              <w:ind w:right="241"/>
              <w:spacing w:after="0"/>
              <w:rPr>
                <w:sz w:val="20"/>
                <w:szCs w:val="20"/>
                <w:color w:val="auto"/>
              </w:rPr>
            </w:pPr>
            <w:r>
              <w:rPr>
                <w:rFonts w:ascii="Arial" w:cs="Arial" w:eastAsia="Arial" w:hAnsi="Arial"/>
                <w:sz w:val="17"/>
                <w:szCs w:val="17"/>
                <w:color w:val="0000FF"/>
              </w:rPr>
              <w:t>12,594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2,476</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2"/>
                <w:szCs w:val="22"/>
                <w:color w:val="auto"/>
              </w:rPr>
            </w:pPr>
          </w:p>
        </w:tc>
        <w:tc>
          <w:tcPr>
            <w:tcW w:w="1300" w:type="dxa"/>
            <w:vAlign w:val="bottom"/>
            <w:gridSpan w:val="3"/>
          </w:tcPr>
          <w:p>
            <w:pPr>
              <w:jc w:val="right"/>
              <w:ind w:right="321"/>
              <w:spacing w:after="0"/>
              <w:rPr>
                <w:sz w:val="20"/>
                <w:szCs w:val="20"/>
                <w:color w:val="auto"/>
              </w:rPr>
            </w:pPr>
            <w:r>
              <w:rPr>
                <w:rFonts w:ascii="Arial" w:cs="Arial" w:eastAsia="Arial" w:hAnsi="Arial"/>
                <w:sz w:val="17"/>
                <w:szCs w:val="17"/>
                <w:color w:val="0000FF"/>
              </w:rPr>
              <w:t>10,118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11/18/2021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5,488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8,603</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2,220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2021, 5,488 restricted stock units vested and 2,476 shares of the Company's common stock were withheld to satisfy tax withholding obligations. The closing price on November 18, 2021 of the Company's common stock on NASDAQ was $48.330 per share.</w:t>
      </w:r>
    </w:p>
    <w:p>
      <w:pPr>
        <w:spacing w:after="0" w:line="24"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2019, the reporting person was granted 5,488 restricted stock units, which will vest in three installments, with 5,488 shares vesting on the second anniversary of the grant date, 2,744 shares vesting on the third anniversary of the grant date and 2,745 shares vesting on the fourth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Jared Brandman</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11/22/2021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2021-11-22T15:42:32Z</dcterms:created>
  <dcterms:modified xsi:type="dcterms:W3CDTF">2021-11-22T15:42:32Z</dcterms:modified>
</cp:coreProperties>
</file>