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5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August 11, 2022</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552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20" w:type="dxa"/>
            <w:vAlign w:val="bottom"/>
          </w:tcPr>
          <w:p>
            <w:pPr>
              <w:jc w:val="center"/>
              <w:ind w:right="283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80"/>
        </w:trPr>
        <w:tc>
          <w:tcPr>
            <w:tcW w:w="5520" w:type="dxa"/>
            <w:vAlign w:val="bottom"/>
          </w:tcPr>
          <w:p>
            <w:pPr>
              <w:jc w:val="center"/>
              <w:ind w:left="18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520" w:type="dxa"/>
            <w:vAlign w:val="bottom"/>
          </w:tcPr>
          <w:p>
            <w:pPr>
              <w:jc w:val="center"/>
              <w:ind w:left="187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11, 2022, National Vision Holdings, Inc. (“</w:t>
      </w:r>
      <w:r>
        <w:rPr>
          <w:rFonts w:ascii="Arial" w:cs="Arial" w:eastAsia="Arial" w:hAnsi="Arial"/>
          <w:sz w:val="18"/>
          <w:szCs w:val="18"/>
          <w:u w:val="single" w:color="auto"/>
          <w:color w:val="auto"/>
        </w:rPr>
        <w:t>National Vision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financial results for the quarter ended July 2, 2022.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Item 2.02 of this Current Report on Form 8-K, including Exhibit 99.1,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Item 2.02 of Form 8-K and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Update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11, 2022, the Company announced leadership changes, pursuant to which Patrick Moore, the Company’s Chief Financial Officer, has been appointed to the newly-created role of Chief Operating Officer, effective as of August 11, 2022 (the “</w:t>
      </w:r>
      <w:r>
        <w:rPr>
          <w:rFonts w:ascii="Arial" w:cs="Arial" w:eastAsia="Arial" w:hAnsi="Arial"/>
          <w:sz w:val="17"/>
          <w:szCs w:val="17"/>
          <w:u w:val="single" w:color="auto"/>
          <w:color w:val="auto"/>
        </w:rPr>
        <w:t>Effective Date</w:t>
      </w:r>
      <w:r>
        <w:rPr>
          <w:rFonts w:ascii="Arial" w:cs="Arial" w:eastAsia="Arial" w:hAnsi="Arial"/>
          <w:sz w:val="17"/>
          <w:szCs w:val="17"/>
          <w:color w:val="auto"/>
          <w:highlight w:val="white"/>
        </w:rPr>
        <w:t>”).</w:t>
      </w:r>
      <w:r>
        <w:rPr>
          <w:rFonts w:ascii="Arial" w:cs="Arial" w:eastAsia="Arial" w:hAnsi="Arial"/>
          <w:sz w:val="17"/>
          <w:szCs w:val="17"/>
          <w:color w:val="auto"/>
        </w:rPr>
        <w:t xml:space="preserve"> In this role, Mr. Moore, age 58, will take on leadership of the Retail Operations, Clinical Services, Real Estate, Labs, Manufacturing and Distribution and Strategy functions. He will continue to serve as the Company’s Chief Financial Officer until January 1, 2023, when, in accordance with a planned succession, Melissa Rasmussen, Senior Vice President, Finance and Accounting, will succeed Mr. Moore as Chief Financial Officer of the Company.</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Moore has served as the Chief Financial Officer since 2014. Ms. Rasmussen, age 45, currently serves as Senior Vice President, Finance and Accounting, and served as Senior Vice President, Chief Accounting Officer prior to that from July 2019 until August 2022, leading the Accounting, Tax, SEC Reporting and Internal Audit functions. Prior to joining National Vision, Ms. Rasmussen was the Vice President and Global Corporate Controller of Lexmark International, Inc., where she led the worldwide accounting and SEC reporting functions.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on August 5, 2022, Roger Francis, the Company’s Chief Stores Officer, notified the Company that he will be resigning from the Company effective August 31, 2022 to take an international leadership position in a company outside of the optical industry.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Matters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Following the Effective Date, Mr. Moore as Chief Operating and Financial Officer will receive a base salary of $600,000, and he will be eligible to receive an annual cash incentive award with a target opportunity of 75% of his base salary. There are no family relationships between Mr. Moore and any director or executive officer of the Company and he has no direct or indirect material interest in any transaction required to be disclosed pursuant to Item 404(a) of Regulation S-K.</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Upon assuming the Chief Financial Officer role in January 2023, Ms. Rasmussen will receive a base salary of $400,000, and she will be eligible to receive an annual cash incentive award with a target opportunity of 60% of her base salary. She will also be eligible to receive an annual long-term incentive award valued when the Company next grants such awards, as determined by the Compensation Committee of the Board of Directors of the Company. There are no family relationships between Ms. Rasmussen and any director or executive officer of the Company and she has no direct or indirect material interest in any transaction required to be disclosed pursuant to Item 404(a) of Regulation S-K.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August 11, the Company issued a press release announcing these leadership changes. A copy of the release is filed herewith as Exhibit 99.2 and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11, 2022.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09"/>
        </w:trPr>
        <w:tc>
          <w:tcPr>
            <w:tcW w:w="360" w:type="dxa"/>
            <w:vAlign w:val="bottom"/>
            <w:gridSpan w:val="2"/>
          </w:tcPr>
          <w:p>
            <w:pPr>
              <w:ind w:left="40"/>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11, 2022.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880" w:type="dxa"/>
            <w:vAlign w:val="bottom"/>
          </w:tcPr>
          <w:p>
            <w:pPr>
              <w:spacing w:after="0"/>
              <w:rPr>
                <w:sz w:val="20"/>
                <w:szCs w:val="20"/>
                <w:color w:val="auto"/>
              </w:rPr>
            </w:pPr>
            <w:r>
              <w:rPr>
                <w:rFonts w:ascii="Arial" w:cs="Arial" w:eastAsia="Arial" w:hAnsi="Arial"/>
                <w:sz w:val="18"/>
                <w:szCs w:val="18"/>
                <w:color w:val="auto"/>
              </w:rPr>
              <w:t>Date: August 11, 2022</w:t>
            </w:r>
          </w:p>
        </w:tc>
        <w:tc>
          <w:tcPr>
            <w:tcW w:w="2580" w:type="dxa"/>
            <w:vAlign w:val="bottom"/>
          </w:tcPr>
          <w:p>
            <w:pPr>
              <w:ind w:left="12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880" w:type="dxa"/>
            <w:vAlign w:val="bottom"/>
          </w:tcPr>
          <w:p>
            <w:pPr>
              <w:spacing w:after="0"/>
              <w:rPr>
                <w:sz w:val="19"/>
                <w:szCs w:val="19"/>
                <w:color w:val="auto"/>
              </w:rPr>
            </w:pPr>
          </w:p>
        </w:tc>
        <w:tc>
          <w:tcPr>
            <w:tcW w:w="2580" w:type="dxa"/>
            <w:vAlign w:val="bottom"/>
          </w:tcPr>
          <w:p>
            <w:pPr>
              <w:ind w:left="124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880" w:type="dxa"/>
            <w:vAlign w:val="bottom"/>
          </w:tcPr>
          <w:p>
            <w:pPr>
              <w:spacing w:after="0"/>
              <w:rPr>
                <w:sz w:val="20"/>
                <w:szCs w:val="20"/>
                <w:color w:val="auto"/>
              </w:rPr>
            </w:pPr>
          </w:p>
        </w:tc>
        <w:tc>
          <w:tcPr>
            <w:tcW w:w="2580" w:type="dxa"/>
            <w:vAlign w:val="bottom"/>
          </w:tcPr>
          <w:p>
            <w:pPr>
              <w:ind w:left="124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Second Quarter 2022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Updates Fiscal 2022 Outlook</w:t>
      </w:r>
    </w:p>
    <w:p>
      <w:pPr>
        <w:spacing w:after="0" w:line="23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decreased 7.3% to $509.6 million</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(11.0)%; Adjusted Comparable Store Sales Growth of (12.4)%</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decreased 74.1% to $9.7 million; Diluted EPS decreased 70.9% to $0.12</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decreased 57.6% to $27.8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decreased 57.0% to $0.21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Repurchased 2.6 million shares for $73 million</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11, 2022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ended July 2, 2022.</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second quarter, we continued to progress our key growth initiatives despite the challenges of the dynamic consumer environment,” stated chief executive officer Reade Fahs. “We opened 22 stores this quarter and remain excited about our potential growth opportunities in U.S. value optical. Our accelerated rollout of remote medicine is adding incremental exam capacity and remains on track to be operational in up to 300 stores by year-end. In addition, we are pleased to have recently signed a multi-year extension of our current lens purchasing agreement with EssilorLuxottica.”</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Fahs continued, “As it pertains to the remainder of the year, we continue to expect our near-term performance to be affected by macro headwinds facing our lower-income consumer and constraints to exam capacity. We've made significant progress in our cost alignment efforts that should temper the impact to profitability from the lowered revenues in our Fiscal 2022 outlook. Looking ahead, we are confident in our business model and our strategy and believe we remain in a position of strength to deliver sustainable growth.”</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Summary</w:t>
      </w:r>
    </w:p>
    <w:p>
      <w:pPr>
        <w:spacing w:after="0" w:line="12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Net revenue decreased 7.3% to $509.6 million compared to the second quarter of 2021.</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was positively impacted by 0.2%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(11.0)% and Adjusted Comparable Store Sales Growth was (12.4)%.</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opened 22 new stores and ended the quarter with 1,314 stores. Overall, store count grew 5.2% from July 3, 2021 to July 2, 2022.</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decreased 0.6% to $234.6 million compared to the second quarter of 2021. As a percentage of net revenue, costs applicable to revenue increased 310 basis points to 46.0% compared to the second quarter of 2021. This increase as a percentage of net revenue was primarily driven by deleverage of optometrist-related costs, reduced eyeglass mix and lower eyeglass margin.</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SG&amp;A decreased 2.7% to $227.8 million compared to the second quarter of 2021. As a percentage of net revenue, SG&amp;A increased 210 basis points to 44.7% compared to the second quarter of 2021. This increase as a percentage of net revenue was primarily driven by deleverage of store payroll and occupancy expense, partially offset by lower performance-based incentive compensation, stock-based compensation expense, and lower advertising.</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74.1% to $9.7 million compared to the second quarter of 2021.</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Diluted EPS decreased 70.9% to $0.12 compared to the second quarter of 2021. Adjusted Diluted EPS decreased 57.0% to $0.21 compared to the second quarter of 2021. The change in margin on unearned revenue benefited Adjusted Diluted EPS by $0.02.</w:t>
      </w:r>
    </w:p>
    <w:p>
      <w:pPr>
        <w:jc w:val="both"/>
        <w:ind w:left="340" w:hanging="332"/>
        <w:spacing w:after="0" w:line="25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Operating Income decreased 57.6% to $27.8 million compared to the second quarter of 2021. Adjusted Operating Margin decreased 640 basis points to 5.5% compared to the second quarter of 2021. The change in margin on unearned revenue benefited Adjusted Operating Income by $0.8 million.</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Six-Month Period Summary</w:t>
      </w:r>
    </w:p>
    <w:p>
      <w:pPr>
        <w:spacing w:after="0" w:line="12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decreased 4.3% to $1.0 billion compared to the same period of 2021.</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was positively impacted by 0.2%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growth was (8.0)% and Adjusted Comparable Store Sales Growth was (9.6)%.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opened 39 new stores, closed three stores, and ended the period with 1,314 stores.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applicable to revenue increased 2.2% to $470.6 million compared to the same period of 2021. As a percentage of net revenue, costs applicable to revenue increased 290 basis points to 45.4% compared to the same period of 2021. This increase as a percentage of net revenue was primarily driven by the deleverage of optometrist-related costs, reduced eyeglass mix and lower eyeglass margin.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decreased 0.3% to $456.4 million compared to the same period of 2021. As a percentage of net revenue, SG&amp;A increased 180 basis points to 44.0% compared to the same period of 2021. This increase as a percentage of net revenue was primarily driven by the deleverage of store payroll and occupancy expense, partially offset by lower performance-based incentive compensation.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50.8% to $39.9 million compared to the same period of 2021.</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EPS decreased 46.9% to $0.47 compared to the same period of 2021. Adjusted Diluted EPS decreased 45.0% to $0.53 compared to the same period of 2021. The net change in margin on unearned revenue benefited Adjusted Diluted EPS by $0.01.</w:t>
      </w:r>
    </w:p>
    <w:p>
      <w:pPr>
        <w:jc w:val="both"/>
        <w:ind w:left="340" w:hanging="332"/>
        <w:spacing w:after="0" w:line="255"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Adjusted Operating Income decreased 45.2% to $73.1 million compared to the same period of 2021. Adjusted Operating Margin decreased 530 basis points to 7.0% compared to the same period of 2021. The net change in margin on unearned revenue benefited Adjusted Operating Income by $1.6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July 2, 2022</w:t>
      </w:r>
    </w:p>
    <w:p>
      <w:pPr>
        <w:spacing w:after="0" w:line="121" w:lineRule="exact"/>
        <w:rPr>
          <w:sz w:val="20"/>
          <w:szCs w:val="20"/>
          <w:color w:val="auto"/>
        </w:rPr>
      </w:pPr>
    </w:p>
    <w:p>
      <w:pPr>
        <w:ind w:left="340" w:hanging="332"/>
        <w:spacing w:after="0" w:line="258"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cash balance was $254.4 million as of July 2, 2022. The Company had no borrowings under its $300 million first lien revolving credit facility, exclusive of letters of credit of $6.4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was $568.8 million as of July 2, 2022, consisting of outstanding first lien term loans, convertible senior notes (“2025 Notes”) and finance lease obligations, net of unamortized discounts.</w:t>
      </w: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Cash flows from operating activities for the first six months of 2022 were $88.0 million compared to $189.8 million for the same period of 2021.</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the first six months of 2022 totaled $55.7 million compared to $38.8 million for the same period of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left="340" w:hanging="332"/>
        <w:spacing w:after="0" w:line="286"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second quarter, the Company repurchased 2.6 million shares of its common stock for $73 million under the share repurchase program. Following these repurchases, the Company had $50 million remaining under the current share repurchase authorization. Since the inception of the repurchase program in November 2021, the Company has repurchased 4.2 million shares for a total cost of $150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340" w:hanging="332"/>
        <w:spacing w:after="0" w:line="286" w:lineRule="auto"/>
        <w:tabs>
          <w:tab w:leader="none" w:pos="335" w:val="left"/>
        </w:tabs>
        <w:numPr>
          <w:ilvl w:val="0"/>
          <w:numId w:val="8"/>
        </w:numPr>
        <w:rPr>
          <w:rFonts w:ascii="Arial" w:cs="Arial" w:eastAsia="Arial" w:hAnsi="Arial"/>
          <w:sz w:val="17"/>
          <w:szCs w:val="17"/>
          <w:i w:val="1"/>
          <w:iCs w:val="1"/>
          <w:color w:val="auto"/>
        </w:rPr>
      </w:pPr>
      <w:r>
        <w:rPr>
          <w:rFonts w:ascii="Arial" w:cs="Arial" w:eastAsia="Arial" w:hAnsi="Arial"/>
          <w:sz w:val="17"/>
          <w:szCs w:val="17"/>
          <w:color w:val="auto"/>
        </w:rPr>
        <w:t>On July 19, 2022, the Company entered into an amendment to the letter agreement dated November 12, 2018 with Essilor of America, Inc. (“Essilor”) to, among other things, extend the term of the Company’s contractual agreement with Essilor for three years from May 31, 2023 to May 31, 2026. Under the agreement, Essilor has the sole and exclusive right to supply certain lenses for eyeglasses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Outlook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updated fiscal 2022 outlook reflects the currently expected impacts related to macro-economic factors, including inflation, geopolitical instability and risks of recession, as well as constraints on exam capacity and the ongoing COVID-19 pandemic; however, the ultimate impact of these factors on the Company’s financial outlook remains uncertain with dynamic market conditions and the outlook shown below assumes no material deterioration to the Company’s current business operations as a result of such factors.</w:t>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Company is providing the following updated outlook for the 52 weeks ending December 31, 2022:</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72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Updated Fiscal 2022 Outlook</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Prior Fiscal 2022 Outlook</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37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1"/>
              </w:rPr>
              <w:t>At least 80</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At least 80</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p>
        </w:tc>
        <w:tc>
          <w:tcPr>
            <w:tcW w:w="3720" w:type="dxa"/>
            <w:vAlign w:val="bottom"/>
          </w:tcPr>
          <w:p>
            <w:pPr>
              <w:jc w:val="center"/>
              <w:ind w:left="470"/>
              <w:spacing w:after="0"/>
              <w:rPr>
                <w:sz w:val="20"/>
                <w:szCs w:val="20"/>
                <w:color w:val="auto"/>
              </w:rPr>
            </w:pPr>
            <w:r>
              <w:rPr>
                <w:rFonts w:ascii="Arial" w:cs="Arial" w:eastAsia="Arial" w:hAnsi="Arial"/>
                <w:sz w:val="18"/>
                <w:szCs w:val="18"/>
                <w:color w:val="auto"/>
                <w:w w:val="93"/>
              </w:rPr>
              <w:t>(8%) - (6.5%)</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(7%) - (4%)</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7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4"/>
              </w:rPr>
              <w:t>$1.99 - $2.02 billion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$2.01 - $2.07 billion</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720" w:type="dxa"/>
            <w:vAlign w:val="bottom"/>
          </w:tcPr>
          <w:p>
            <w:pPr>
              <w:jc w:val="center"/>
              <w:ind w:left="470"/>
              <w:spacing w:after="0"/>
              <w:rPr>
                <w:sz w:val="20"/>
                <w:szCs w:val="20"/>
                <w:color w:val="auto"/>
              </w:rPr>
            </w:pPr>
            <w:r>
              <w:rPr>
                <w:rFonts w:ascii="Arial" w:cs="Arial" w:eastAsia="Arial" w:hAnsi="Arial"/>
                <w:sz w:val="18"/>
                <w:szCs w:val="18"/>
                <w:color w:val="auto"/>
                <w:w w:val="95"/>
              </w:rPr>
              <w:t>$85 - $100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$85 - $105 million</w:t>
            </w: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p>
        </w:tc>
        <w:tc>
          <w:tcPr>
            <w:tcW w:w="37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$0.65 - $0.77</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$0.65 - $0.80</w:t>
            </w:r>
          </w:p>
        </w:tc>
      </w:tr>
      <w:tr>
        <w:trPr>
          <w:trHeight w:val="230"/>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3720" w:type="dxa"/>
            <w:vAlign w:val="bottom"/>
          </w:tcPr>
          <w:p>
            <w:pPr>
              <w:jc w:val="center"/>
              <w:ind w:left="470"/>
              <w:spacing w:after="0"/>
              <w:rPr>
                <w:sz w:val="20"/>
                <w:szCs w:val="20"/>
                <w:color w:val="auto"/>
              </w:rPr>
            </w:pPr>
            <w:r>
              <w:rPr>
                <w:rFonts w:ascii="Arial" w:cs="Arial" w:eastAsia="Arial" w:hAnsi="Arial"/>
                <w:sz w:val="18"/>
                <w:szCs w:val="18"/>
                <w:color w:val="auto"/>
                <w:w w:val="97"/>
              </w:rPr>
              <w:t>~$103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~$103 million</w:t>
            </w: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3</w:t>
            </w:r>
          </w:p>
        </w:tc>
        <w:tc>
          <w:tcPr>
            <w:tcW w:w="37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$17 - $18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~$18 million</w:t>
            </w:r>
          </w:p>
        </w:tc>
      </w:tr>
      <w:tr>
        <w:trPr>
          <w:trHeight w:val="229"/>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4</w:t>
            </w:r>
          </w:p>
        </w:tc>
        <w:tc>
          <w:tcPr>
            <w:tcW w:w="3720" w:type="dxa"/>
            <w:vAlign w:val="bottom"/>
          </w:tcPr>
          <w:p>
            <w:pPr>
              <w:jc w:val="center"/>
              <w:ind w:left="470"/>
              <w:spacing w:after="0"/>
              <w:rPr>
                <w:sz w:val="20"/>
                <w:szCs w:val="20"/>
                <w:color w:val="auto"/>
              </w:rPr>
            </w:pPr>
            <w:r>
              <w:rPr>
                <w:rFonts w:ascii="Arial" w:cs="Arial" w:eastAsia="Arial" w:hAnsi="Arial"/>
                <w:sz w:val="18"/>
                <w:szCs w:val="18"/>
                <w:color w:val="auto"/>
                <w:w w:val="90"/>
              </w:rPr>
              <w:t>26% - 27%</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~26%</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7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$110 - $115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$110 - $115 million</w:t>
            </w:r>
          </w:p>
        </w:tc>
      </w:tr>
    </w:tbl>
    <w:p>
      <w:pPr>
        <w:spacing w:after="0" w:line="274" w:lineRule="exact"/>
        <w:rPr>
          <w:sz w:val="20"/>
          <w:szCs w:val="20"/>
          <w:color w:val="auto"/>
        </w:rPr>
      </w:pPr>
    </w:p>
    <w:p>
      <w:pPr>
        <w:ind w:left="280" w:right="480"/>
        <w:spacing w:after="0" w:line="246" w:lineRule="auto"/>
        <w:rPr>
          <w:sz w:val="20"/>
          <w:szCs w:val="20"/>
          <w:color w:val="auto"/>
        </w:rPr>
      </w:pPr>
      <w:r>
        <w:rPr>
          <w:rFonts w:ascii="Arial" w:cs="Arial" w:eastAsia="Arial" w:hAnsi="Arial"/>
          <w:sz w:val="16"/>
          <w:szCs w:val="16"/>
          <w:i w:val="1"/>
          <w:iCs w:val="1"/>
          <w:color w:val="auto"/>
        </w:rPr>
        <w:t>1 - Assumes 80.1 million shares, and does not include 12.9 million shares attributable to the 2025 Notes as they are anticipated to be anti-dilutive to earnings per share for fiscal year 2022</w:t>
      </w:r>
    </w:p>
    <w:p>
      <w:pPr>
        <w:ind w:left="280"/>
        <w:spacing w:after="0" w:line="213" w:lineRule="auto"/>
        <w:rPr>
          <w:sz w:val="20"/>
          <w:szCs w:val="20"/>
          <w:color w:val="auto"/>
        </w:rPr>
      </w:pPr>
      <w:r>
        <w:rPr>
          <w:rFonts w:ascii="Arial" w:cs="Arial" w:eastAsia="Arial" w:hAnsi="Arial"/>
          <w:sz w:val="16"/>
          <w:szCs w:val="16"/>
          <w:i w:val="1"/>
          <w:iCs w:val="1"/>
          <w:color w:val="auto"/>
        </w:rPr>
        <w:t>2 - Includes amortization of acquisition intangibles of approximately $7.5 million, which is excluded in the definition of Adjusted Operating Income</w:t>
      </w:r>
    </w:p>
    <w:p>
      <w:pPr>
        <w:ind w:left="280"/>
        <w:spacing w:after="0" w:line="211" w:lineRule="auto"/>
        <w:rPr>
          <w:sz w:val="20"/>
          <w:szCs w:val="20"/>
          <w:color w:val="auto"/>
        </w:rPr>
      </w:pPr>
      <w:r>
        <w:rPr>
          <w:rFonts w:ascii="Arial" w:cs="Arial" w:eastAsia="Arial" w:hAnsi="Arial"/>
          <w:sz w:val="16"/>
          <w:szCs w:val="16"/>
          <w:i w:val="1"/>
          <w:iCs w:val="1"/>
          <w:color w:val="auto"/>
        </w:rPr>
        <w:t>3 - Before the impact of gains or losses related to hedge ineffectiveness and charges related to amortization of debt discounts and deferred financing costs</w:t>
      </w:r>
    </w:p>
    <w:p>
      <w:pPr>
        <w:ind w:left="280"/>
        <w:spacing w:after="0"/>
        <w:rPr>
          <w:sz w:val="20"/>
          <w:szCs w:val="20"/>
          <w:color w:val="auto"/>
        </w:rPr>
      </w:pPr>
      <w:r>
        <w:rPr>
          <w:rFonts w:ascii="Arial" w:cs="Arial" w:eastAsia="Arial" w:hAnsi="Arial"/>
          <w:sz w:val="16"/>
          <w:szCs w:val="16"/>
          <w:i w:val="1"/>
          <w:iCs w:val="1"/>
          <w:color w:val="auto"/>
        </w:rPr>
        <w:t>4 - Excluding the impact of stock option exercises</w:t>
      </w:r>
    </w:p>
    <w:p>
      <w:pPr>
        <w:spacing w:after="0" w:line="200" w:lineRule="exact"/>
        <w:rPr>
          <w:sz w:val="20"/>
          <w:szCs w:val="20"/>
          <w:color w:val="auto"/>
        </w:rPr>
      </w:pPr>
    </w:p>
    <w:p>
      <w:pPr>
        <w:spacing w:after="0" w:line="3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2022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The fiscal 2022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2022 outlook. The Company uses these forward looking measures internally to assess and benchmark its results and strategic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A conference call to discuss the second quarter 2022 financial results is scheduled for today, August 11, 2022, at 10:00 a.m. Eastern Time. Please click here to pre-register for the conference call and obtain a dial-in number and passcode. A live audio webcast of the conference call will be available on the “Investors” section of the Company’s website </w:t>
      </w:r>
      <w:r>
        <w:rPr>
          <w:rFonts w:ascii="Arial" w:cs="Arial" w:eastAsia="Arial" w:hAnsi="Arial"/>
          <w:sz w:val="17"/>
          <w:szCs w:val="17"/>
          <w:u w:val="single" w:color="auto"/>
          <w:color w:val="0E32E1"/>
        </w:rPr>
        <w:t>www.nationalvision.com/investors</w:t>
      </w:r>
      <w:r>
        <w:rPr>
          <w:rFonts w:ascii="Arial" w:cs="Arial" w:eastAsia="Arial" w:hAnsi="Arial"/>
          <w:sz w:val="17"/>
          <w:szCs w:val="17"/>
          <w:color w:val="auto"/>
          <w:highlight w:val="white"/>
        </w:rPr>
        <w:t>, where presentation materials will be posted prior to the conference call.</w:t>
      </w:r>
      <w:r>
        <w:rPr>
          <w:rFonts w:ascii="Arial" w:cs="Arial" w:eastAsia="Arial" w:hAnsi="Arial"/>
          <w:sz w:val="17"/>
          <w:szCs w:val="17"/>
          <w:color w:val="auto"/>
        </w:rPr>
        <w:t xml:space="preserve"> </w:t>
      </w:r>
      <w:r>
        <w:rPr>
          <w:rFonts w:ascii="Arial" w:cs="Arial" w:eastAsia="Arial" w:hAnsi="Arial"/>
          <w:sz w:val="17"/>
          <w:szCs w:val="17"/>
          <w:color w:val="auto"/>
          <w:highlight w:val="white"/>
        </w:rPr>
        <w:t>A replay of the audio webcast will also be archived on the “Investors” section of the Company’s website.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1,300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2022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83" w:lineRule="auto"/>
        <w:rPr>
          <w:sz w:val="20"/>
          <w:szCs w:val="20"/>
          <w:color w:val="auto"/>
        </w:rPr>
      </w:pPr>
      <w:r>
        <w:rPr>
          <w:rFonts w:ascii="Arial" w:cs="Arial" w:eastAsia="Arial" w:hAnsi="Arial"/>
          <w:sz w:val="16"/>
          <w:szCs w:val="16"/>
          <w:color w:val="auto"/>
        </w:rPr>
        <w:t>“projects,”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including risks stemming from vaccination and testing programs and mandates; customer behavior in response to the continuing pandemic and its more recent outbreaks of variants, including the impact of such behavior on in-store traffic and sales; overall decline in the health of the economy and other factors impacting consumer spending, including inflation, rising interest rates, and geopolitical instability; our ability to open and operate new stores in a timely and cost-effective manner, or keep stores safely open in light of the continuing COVID-19 pandemic, and to successfully enter new markets;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risks associated with environmental, social and governance issues, including climate change;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our Quarterly Report on Form 10-Q filed on August 11, 2022,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EBITDA: </w:t>
      </w:r>
      <w:r>
        <w:rPr>
          <w:rFonts w:ascii="Arial" w:cs="Arial" w:eastAsia="Arial" w:hAnsi="Arial"/>
          <w:sz w:val="17"/>
          <w:szCs w:val="17"/>
          <w:color w:val="auto"/>
        </w:rPr>
        <w:t>We define EBITDA as net income, plus interest expense (income), net, income tax provision (benefit) and depreciation and amortization.</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Adjusted Operating Income: </w:t>
      </w:r>
      <w:r>
        <w:rPr>
          <w:rFonts w:ascii="Arial" w:cs="Arial" w:eastAsia="Arial" w:hAnsi="Arial"/>
          <w:sz w:val="16"/>
          <w:szCs w:val="16"/>
          <w:color w:val="auto"/>
        </w:rPr>
        <w:t>We define Adjusted Operating Income as net income, plus interest expense (income), net and income tax provision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We define Adjusted EBITDA as net income, plus interest expense (income), net, income tax provision (benefit) and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further adjusted to exclude stock compensation expense, loss on extinguishment of debt, asset impairment, litigation settlement, secondary offering expenses, management realignment expenses, long-term incentive plan expenses, and certain other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diluted earnings per share, adjusted for the per share impact of stock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litigation settlement, secondary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management realignment expenses, long-term incentive plan expense, and certain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r>
      <w:tr>
        <w:trPr>
          <w:trHeight w:val="237"/>
        </w:trPr>
        <w:tc>
          <w:tcPr>
            <w:tcW w:w="7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July 2, 2022</w:t>
            </w:r>
          </w:p>
        </w:tc>
        <w:tc>
          <w:tcPr>
            <w:tcW w:w="26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w w:val="99"/>
              </w:rPr>
              <w:t>January 1, 2022</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305,800</w:t>
            </w: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55,697</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123,669</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29,410</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514,576</w:t>
            </w:r>
          </w:p>
        </w:tc>
      </w:tr>
      <w:tr>
        <w:trPr>
          <w:trHeight w:val="216"/>
        </w:trPr>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350,840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346,436</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777,613</w:t>
            </w: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240,547</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42,020</w:t>
            </w: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372,121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354,900</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non-current assets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1,778,515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2,293,091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Other payables and accrued expenses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119,323</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65,325</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29"/>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operating lease obligations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r>
      <w:tr>
        <w:trPr>
          <w:trHeight w:val="162"/>
        </w:trPr>
        <w:tc>
          <w:tcPr>
            <w:tcW w:w="7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564,152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566,081</w:t>
            </w: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342,241</w:t>
            </w: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23,166</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1,023,308</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84,147 and 83,840 shares issued as</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2"/>
              </w:rPr>
              <w:t>of July 2, 2022 and January 1, 2022, respectively; 78,885 and 81,405 shares outstanding as of</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July 2, 2022 and January 1, 2022, respectively</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9"/>
              </w:rPr>
              <w:t>Treasury stock, at cost; 5,262 and 2,435 shares as of July 2, 2022 and January 1, 2022,</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2,278,343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Six Months Ended</w:t>
            </w:r>
          </w:p>
        </w:tc>
      </w:tr>
      <w:tr>
        <w:trPr>
          <w:trHeight w:val="209"/>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3, 2021</w:t>
            </w: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July 2, 2022</w:t>
            </w: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July 3, 2021</w:t>
            </w:r>
          </w:p>
        </w:tc>
      </w:tr>
      <w:tr>
        <w:trPr>
          <w:trHeight w:val="19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Net product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421,600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458,206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854,853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901,273</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 of 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182,396</w:t>
            </w:r>
          </w:p>
        </w:tc>
      </w:tr>
      <w:tr>
        <w:trPr>
          <w:trHeight w:val="206"/>
        </w:trPr>
        <w:tc>
          <w:tcPr>
            <w:tcW w:w="5120" w:type="dxa"/>
            <w:vAlign w:val="bottom"/>
          </w:tcPr>
          <w:p>
            <w:pPr>
              <w:ind w:left="360"/>
              <w:spacing w:after="0"/>
              <w:rPr>
                <w:sz w:val="20"/>
                <w:szCs w:val="20"/>
                <w:color w:val="auto"/>
              </w:rPr>
            </w:pPr>
            <w:r>
              <w:rPr>
                <w:rFonts w:ascii="Arial" w:cs="Arial" w:eastAsia="Arial" w:hAnsi="Arial"/>
                <w:sz w:val="16"/>
                <w:szCs w:val="16"/>
                <w:color w:val="auto"/>
              </w:rPr>
              <w:t>Total net revenue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509,555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549,489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1,037,266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1,083,669</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Costs applicable to revenue (exclusive of 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Products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326,719</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133,917</w:t>
            </w:r>
          </w:p>
        </w:tc>
      </w:tr>
      <w:tr>
        <w:trPr>
          <w:trHeight w:val="207"/>
        </w:trPr>
        <w:tc>
          <w:tcPr>
            <w:tcW w:w="5120" w:type="dxa"/>
            <w:vAlign w:val="bottom"/>
          </w:tcPr>
          <w:p>
            <w:pPr>
              <w:ind w:left="360"/>
              <w:spacing w:after="0"/>
              <w:rPr>
                <w:sz w:val="20"/>
                <w:szCs w:val="20"/>
                <w:color w:val="auto"/>
              </w:rPr>
            </w:pPr>
            <w:r>
              <w:rPr>
                <w:rFonts w:ascii="Arial" w:cs="Arial" w:eastAsia="Arial" w:hAnsi="Arial"/>
                <w:sz w:val="16"/>
                <w:szCs w:val="16"/>
                <w:color w:val="auto"/>
              </w:rPr>
              <w:t>Total costs applicable to revenue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234,567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235,946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470,604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460,636</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456,383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457,828</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47,580</w:t>
            </w: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6"/>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510,959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506,756</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116,277</w:t>
            </w:r>
          </w:p>
        </w:tc>
      </w:tr>
      <w:tr>
        <w:trPr>
          <w:trHeight w:val="213"/>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expense (income),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16,518</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99,759</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18,726</w:t>
            </w: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81,033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0.99</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81,457</w:t>
            </w: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96,082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94,109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96,044</w:t>
            </w:r>
          </w:p>
        </w:tc>
      </w:tr>
      <w:tr>
        <w:trPr>
          <w:trHeight w:val="273"/>
        </w:trPr>
        <w:tc>
          <w:tcPr>
            <w:tcW w:w="5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81,033</w:t>
            </w:r>
          </w:p>
        </w:tc>
      </w:tr>
      <w:tr>
        <w:trPr>
          <w:trHeight w:val="213"/>
        </w:trPr>
        <w:tc>
          <w:tcPr>
            <w:tcW w:w="5120" w:type="dxa"/>
            <w:vAlign w:val="bottom"/>
          </w:tcPr>
          <w:p>
            <w:pPr>
              <w:ind w:left="220"/>
              <w:spacing w:after="0"/>
              <w:rPr>
                <w:sz w:val="20"/>
                <w:szCs w:val="20"/>
                <w:color w:val="auto"/>
              </w:rPr>
            </w:pPr>
            <w:r>
              <w:rPr>
                <w:rFonts w:ascii="Arial" w:cs="Arial" w:eastAsia="Arial" w:hAnsi="Arial"/>
                <w:sz w:val="16"/>
                <w:szCs w:val="16"/>
                <w:color w:val="auto"/>
              </w:rPr>
              <w:t>Unrealized gain on hedge instruments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4,609</w:t>
            </w: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provision of unrealized gain on hedge instruments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82,340</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2025 Notes were antidilutive for the three months ended July 2, 2022 and, therefore, excluded from the computation of the weighted average shares for diluted EPS.</w:t>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color w:val="auto"/>
              </w:rPr>
              <w:t>Six Months Ended</w:t>
            </w:r>
          </w:p>
        </w:tc>
      </w:tr>
      <w:tr>
        <w:trPr>
          <w:trHeight w:val="210"/>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July 3, 2021</w:t>
            </w:r>
          </w:p>
        </w:tc>
      </w:tr>
      <w:tr>
        <w:trPr>
          <w:trHeight w:val="19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39,881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81,033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47,580</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10,201</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(10,208)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12,816</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18,782</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7,885</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189,808</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(38,812)</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(38,790)</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(117,375)</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(1,466)</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(116,529)</w:t>
            </w:r>
          </w:p>
        </w:tc>
      </w:tr>
      <w:tr>
        <w:trPr>
          <w:trHeight w:val="206"/>
        </w:trPr>
        <w:tc>
          <w:tcPr>
            <w:tcW w:w="818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(51,271)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34,489</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r>
      <w:tr>
        <w:trPr>
          <w:trHeight w:val="212"/>
        </w:trPr>
        <w:tc>
          <w:tcPr>
            <w:tcW w:w="81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14,640</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6,995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w:t>
            </w:r>
          </w:p>
        </w:tc>
      </w:tr>
    </w:tbl>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Reconciliation of Adjusted Operating Income to Net Income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Six Months Ended</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3, 2021</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0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July 3, 2021</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37,601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39,881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81,033</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expense (income)</w:t>
            </w: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16,518</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18,726</w:t>
            </w: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10,201</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1,478</w:t>
            </w: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(c)</w:t>
            </w: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3,744</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(f)</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1,549</w:t>
            </w:r>
          </w:p>
        </w:tc>
      </w:tr>
      <w:tr>
        <w:trPr>
          <w:trHeight w:val="209"/>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Adjusted Operating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27,780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65,581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73,084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133,249</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Net income margin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Operating Margin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182"/>
        </w:trPr>
        <w:tc>
          <w:tcPr>
            <w:tcW w:w="5380" w:type="dxa"/>
            <w:vAlign w:val="bottom"/>
            <w:gridSpan w:val="2"/>
          </w:tcPr>
          <w:p>
            <w:pPr>
              <w:ind w:left="180"/>
              <w:spacing w:after="0"/>
              <w:rPr>
                <w:sz w:val="20"/>
                <w:szCs w:val="20"/>
                <w:color w:val="auto"/>
              </w:rPr>
            </w:pPr>
            <w:r>
              <w:rPr>
                <w:rFonts w:ascii="Arial" w:cs="Arial" w:eastAsia="Arial" w:hAnsi="Arial"/>
                <w:sz w:val="14"/>
                <w:szCs w:val="14"/>
                <w:color w:val="auto"/>
                <w:w w:val="94"/>
              </w:rPr>
              <w:t>Note: Percentages reflect line item as a percentage of net revenue, adjusted for rounding</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95"/>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Reconciliation of EBITDA and Adjusted EBITDA to Net Income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Six Months Ended</w:t>
            </w:r>
          </w:p>
        </w:tc>
      </w:tr>
      <w:tr>
        <w:trPr>
          <w:trHeight w:val="212"/>
        </w:trPr>
        <w:tc>
          <w:tcPr>
            <w:tcW w:w="5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3, 2021</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July 2, 2022</w:t>
            </w:r>
          </w:p>
        </w:tc>
        <w:tc>
          <w:tcPr>
            <w:tcW w:w="20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July 3, 2021</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37,601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39,881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81,033</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expense (income)</w:t>
            </w: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16,518</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18,726</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50,396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47,580</w:t>
            </w:r>
          </w:p>
        </w:tc>
      </w:tr>
      <w:tr>
        <w:trPr>
          <w:trHeight w:val="213"/>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106,099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163,857</w:t>
            </w:r>
          </w:p>
        </w:tc>
      </w:t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10,201</w:t>
            </w: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1,478</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(f)</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1,549</w:t>
            </w:r>
          </w:p>
        </w:tc>
      </w:tr>
      <w:tr>
        <w:trPr>
          <w:trHeight w:val="210"/>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51,153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87,735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119,736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177,085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b w:val="1"/>
                <w:bCs w:val="1"/>
                <w:color w:val="auto"/>
              </w:rPr>
              <w:t>Net income margin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 Margin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r>
    </w:tbl>
    <w:p>
      <w:pPr>
        <w:ind w:left="14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Reconciliation of Adjusted Diluted EPS to Diluted EPS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6"/>
                <w:szCs w:val="16"/>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5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rPr>
              <w:t>July 2, 2022</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w w:val="99"/>
              </w:rPr>
              <w:t>July 3, 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July 2, 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July 3, 2021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0.42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0.47</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(c)</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debt discount and deferred financing costs </w:t>
            </w:r>
            <w:r>
              <w:rPr>
                <w:rFonts w:ascii="Arial" w:cs="Arial" w:eastAsia="Arial" w:hAnsi="Arial"/>
                <w:sz w:val="21"/>
                <w:szCs w:val="21"/>
                <w:color w:val="auto"/>
                <w:vertAlign w:val="superscript"/>
              </w:rPr>
              <w:t>(d)</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Losses (gains) on change in fair value of derivatives </w:t>
            </w:r>
            <w:r>
              <w:rPr>
                <w:rFonts w:ascii="Arial" w:cs="Arial" w:eastAsia="Arial" w:hAnsi="Arial"/>
                <w:sz w:val="21"/>
                <w:szCs w:val="21"/>
                <w:color w:val="auto"/>
                <w:vertAlign w:val="superscript"/>
              </w:rPr>
              <w:t>(e)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w w:val="90"/>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(j)</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Tax benefit of stock option exercises </w:t>
            </w:r>
            <w:r>
              <w:rPr>
                <w:rFonts w:ascii="Arial" w:cs="Arial" w:eastAsia="Arial" w:hAnsi="Arial"/>
                <w:sz w:val="21"/>
                <w:szCs w:val="21"/>
                <w:color w:val="auto"/>
                <w:vertAlign w:val="superscript"/>
              </w:rPr>
              <w:t>(g)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total adjustments </w:t>
            </w:r>
            <w:r>
              <w:rPr>
                <w:rFonts w:ascii="Arial" w:cs="Arial" w:eastAsia="Arial" w:hAnsi="Arial"/>
                <w:sz w:val="21"/>
                <w:szCs w:val="21"/>
                <w:color w:val="auto"/>
                <w:vertAlign w:val="superscript"/>
              </w:rPr>
              <w:t>(h)</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0"/>
              </w:rPr>
              <w:t>(0.03)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9"/>
        </w:trPr>
        <w:tc>
          <w:tcPr>
            <w:tcW w:w="5080" w:type="dxa"/>
            <w:vAlign w:val="bottom"/>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50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0.48</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0.53</w:t>
            </w: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21"/>
        </w:trPr>
        <w:tc>
          <w:tcPr>
            <w:tcW w:w="5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 average diluted shares outstanding</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6"/>
                <w:szCs w:val="16"/>
                <w:color w:val="auto"/>
              </w:rPr>
              <w:t>80,403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96,082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94,109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96,044</w:t>
            </w:r>
          </w:p>
        </w:tc>
        <w:tc>
          <w:tcPr>
            <w:tcW w:w="0" w:type="dxa"/>
            <w:vAlign w:val="bottom"/>
          </w:tcPr>
          <w:p>
            <w:pPr>
              <w:spacing w:after="0"/>
              <w:rPr>
                <w:sz w:val="1"/>
                <w:szCs w:val="1"/>
                <w:color w:val="auto"/>
              </w:rPr>
            </w:pPr>
          </w:p>
        </w:tc>
      </w:tr>
      <w:tr>
        <w:trPr>
          <w:trHeight w:val="183"/>
        </w:trPr>
        <w:tc>
          <w:tcPr>
            <w:tcW w:w="5080" w:type="dxa"/>
            <w:vAlign w:val="bottom"/>
          </w:tcPr>
          <w:p>
            <w:pPr>
              <w:ind w:left="140"/>
              <w:spacing w:after="0"/>
              <w:rPr>
                <w:sz w:val="20"/>
                <w:szCs w:val="20"/>
                <w:color w:val="auto"/>
              </w:rPr>
            </w:pPr>
            <w:r>
              <w:rPr>
                <w:rFonts w:ascii="Arial" w:cs="Arial" w:eastAsia="Arial" w:hAnsi="Arial"/>
                <w:sz w:val="14"/>
                <w:szCs w:val="14"/>
                <w:color w:val="auto"/>
                <w:w w:val="96"/>
              </w:rPr>
              <w:t>Note: Some of the totals in the table above do not foot due to rounding differences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0"/>
        </w:trPr>
        <w:tc>
          <w:tcPr>
            <w:tcW w:w="6340" w:type="dxa"/>
            <w:vAlign w:val="bottom"/>
            <w:gridSpan w:val="4"/>
          </w:tcPr>
          <w:p>
            <w:pPr>
              <w:ind w:left="20"/>
              <w:spacing w:after="0"/>
              <w:rPr>
                <w:sz w:val="20"/>
                <w:szCs w:val="20"/>
                <w:color w:val="auto"/>
              </w:rPr>
            </w:pPr>
            <w:r>
              <w:rPr>
                <w:rFonts w:ascii="Arial" w:cs="Arial" w:eastAsia="Arial" w:hAnsi="Arial"/>
                <w:sz w:val="16"/>
                <w:szCs w:val="16"/>
                <w:b w:val="1"/>
                <w:bCs w:val="1"/>
                <w:color w:val="auto"/>
                <w:w w:val="94"/>
              </w:rPr>
              <w:t>Reconciliation of Adjusted SG&amp;A and Adjusted SG&amp;A Percent of Net Revenue to SG&amp;A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color w:val="auto"/>
              </w:rPr>
              <w:t>Three Months Ended</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83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July 2, 2022</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w w:val="99"/>
              </w:rPr>
              <w:t>July 3, 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2"/>
              </w:rPr>
              <w:t>July 2, 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9"/>
              </w:rPr>
              <w:t>July 3, 2021</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SG&amp;A</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227,829</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234,235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456,383</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457,828</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7,372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10,201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(i)</w:t>
            </w: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9"/>
        </w:trPr>
        <w:tc>
          <w:tcPr>
            <w:tcW w:w="5080" w:type="dxa"/>
            <w:vAlign w:val="bottom"/>
          </w:tcPr>
          <w:p>
            <w:pPr>
              <w:ind w:left="140"/>
              <w:spacing w:after="0"/>
              <w:rPr>
                <w:sz w:val="20"/>
                <w:szCs w:val="20"/>
                <w:color w:val="auto"/>
              </w:rPr>
            </w:pPr>
            <w:r>
              <w:rPr>
                <w:rFonts w:ascii="Arial" w:cs="Arial" w:eastAsia="Arial" w:hAnsi="Arial"/>
                <w:sz w:val="16"/>
                <w:szCs w:val="16"/>
                <w:b w:val="1"/>
                <w:bCs w:val="1"/>
                <w:color w:val="auto"/>
              </w:rPr>
              <w:t>Adjusted SG&amp;A</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223,801</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225,781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446,916</w:t>
            </w:r>
          </w:p>
        </w:tc>
        <w:tc>
          <w:tcPr>
            <w:tcW w:w="80" w:type="dxa"/>
            <w:vAlign w:val="bottom"/>
          </w:tcPr>
          <w:p>
            <w:pPr>
              <w:spacing w:after="0"/>
              <w:rPr>
                <w:sz w:val="18"/>
                <w:szCs w:val="18"/>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445,986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ind w:left="140"/>
              <w:spacing w:after="0"/>
              <w:rPr>
                <w:sz w:val="20"/>
                <w:szCs w:val="20"/>
                <w:color w:val="auto"/>
              </w:rPr>
            </w:pPr>
            <w:r>
              <w:rPr>
                <w:rFonts w:ascii="Arial" w:cs="Arial" w:eastAsia="Arial" w:hAnsi="Arial"/>
                <w:sz w:val="16"/>
                <w:szCs w:val="16"/>
                <w:b w:val="1"/>
                <w:bCs w:val="1"/>
                <w:color w:val="auto"/>
              </w:rPr>
              <w:t>SG&amp;A Percent of Net Revenue</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44.7 %</w:t>
            </w: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42.6 %</w:t>
            </w:r>
          </w:p>
        </w:tc>
        <w:tc>
          <w:tcPr>
            <w:tcW w:w="1580" w:type="dxa"/>
            <w:vAlign w:val="bottom"/>
          </w:tcPr>
          <w:p>
            <w:pPr>
              <w:jc w:val="right"/>
              <w:ind w:right="479"/>
              <w:spacing w:after="0"/>
              <w:rPr>
                <w:sz w:val="20"/>
                <w:szCs w:val="20"/>
                <w:color w:val="auto"/>
              </w:rPr>
            </w:pPr>
            <w:r>
              <w:rPr>
                <w:rFonts w:ascii="Arial" w:cs="Arial" w:eastAsia="Arial" w:hAnsi="Arial"/>
                <w:sz w:val="16"/>
                <w:szCs w:val="16"/>
                <w:color w:val="auto"/>
              </w:rPr>
              <w:t>44.0 %</w:t>
            </w:r>
          </w:p>
        </w:tc>
        <w:tc>
          <w:tcPr>
            <w:tcW w:w="1040" w:type="dxa"/>
            <w:vAlign w:val="bottom"/>
          </w:tcPr>
          <w:p>
            <w:pPr>
              <w:jc w:val="right"/>
              <w:spacing w:after="0"/>
              <w:rPr>
                <w:sz w:val="20"/>
                <w:szCs w:val="20"/>
                <w:color w:val="auto"/>
              </w:rPr>
            </w:pPr>
            <w:r>
              <w:rPr>
                <w:rFonts w:ascii="Arial" w:cs="Arial" w:eastAsia="Arial" w:hAnsi="Arial"/>
                <w:sz w:val="16"/>
                <w:szCs w:val="16"/>
                <w:color w:val="auto"/>
              </w:rPr>
              <w:t>42.2 %</w:t>
            </w: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SG&amp;A Percent of Net Revenue</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43.9 %</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41.1 %</w:t>
            </w:r>
          </w:p>
        </w:tc>
        <w:tc>
          <w:tcPr>
            <w:tcW w:w="15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43.1 %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32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32" w:lineRule="exact"/>
        <w:rPr>
          <w:rFonts w:ascii="Arial" w:cs="Arial" w:eastAsia="Arial" w:hAnsi="Arial"/>
          <w:sz w:val="13"/>
          <w:szCs w:val="13"/>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 of property, equipment and lease-related assets on closed or underperforming stores.</w:t>
      </w:r>
    </w:p>
    <w:p>
      <w:pPr>
        <w:spacing w:after="0" w:line="14" w:lineRule="exact"/>
        <w:rPr>
          <w:rFonts w:ascii="Arial" w:cs="Arial" w:eastAsia="Arial" w:hAnsi="Arial"/>
          <w:sz w:val="14"/>
          <w:szCs w:val="14"/>
          <w:color w:val="auto"/>
        </w:rPr>
      </w:pPr>
    </w:p>
    <w:p>
      <w:pPr>
        <w:ind w:left="660" w:right="660" w:hanging="328"/>
        <w:spacing w:after="0" w:line="261" w:lineRule="auto"/>
        <w:tabs>
          <w:tab w:leader="none" w:pos="657"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51" w:lineRule="auto"/>
        <w:tabs>
          <w:tab w:leader="none" w:pos="652"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14" w:lineRule="exact"/>
        <w:rPr>
          <w:rFonts w:ascii="Arial" w:cs="Arial" w:eastAsia="Arial" w:hAnsi="Arial"/>
          <w:sz w:val="14"/>
          <w:szCs w:val="14"/>
          <w:color w:val="auto"/>
        </w:rPr>
      </w:pPr>
    </w:p>
    <w:p>
      <w:pPr>
        <w:jc w:val="both"/>
        <w:ind w:left="660" w:right="640" w:hanging="328"/>
        <w:spacing w:after="0" w:line="274" w:lineRule="auto"/>
        <w:tabs>
          <w:tab w:leader="none" w:pos="655"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losses on other investments of $0.3 million for the six months ended July 2, 2022.</w:t>
      </w:r>
    </w:p>
    <w:p>
      <w:pPr>
        <w:ind w:left="660" w:right="660" w:hanging="328"/>
        <w:spacing w:after="0" w:line="261" w:lineRule="auto"/>
        <w:tabs>
          <w:tab w:leader="none" w:pos="652" w:val="left"/>
        </w:tabs>
        <w:numPr>
          <w:ilvl w:val="0"/>
          <w:numId w:val="9"/>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4"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Reflects other expenses in (f) above, except for losses on other investments of $0.3 million for the six months ended July 2, 2022, and other immaterial adjustments in 2021.</w:t>
      </w:r>
    </w:p>
    <w:p>
      <w:pPr>
        <w:spacing w:after="0" w:line="17" w:lineRule="exact"/>
        <w:rPr>
          <w:rFonts w:ascii="Arial" w:cs="Arial" w:eastAsia="Arial" w:hAnsi="Arial"/>
          <w:sz w:val="13"/>
          <w:szCs w:val="13"/>
          <w:color w:val="auto"/>
        </w:rPr>
      </w:pPr>
    </w:p>
    <w:p>
      <w:pPr>
        <w:ind w:left="660" w:right="660" w:hanging="328"/>
        <w:spacing w:after="0" w:line="275"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(f) above, including the impact of stranded tax effect of $(2.1) million for the six months ended July 3, 2021 associated with our interest rate swaps that matured in 2021, and $0.1 million debt issuance costs for the three and six months ended July 3, 2021, respectively.</w:t>
      </w:r>
    </w:p>
    <w:p>
      <w:pPr>
        <w:sectPr>
          <w:pgSz w:w="11900" w:h="16838" w:orient="portrait"/>
          <w:cols w:equalWidth="0" w:num="1">
            <w:col w:w="11240"/>
          </w:cols>
          <w:pgMar w:left="320" w:top="93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7760" w:type="dxa"/>
            <w:vAlign w:val="bottom"/>
            <w:gridSpan w:val="7"/>
          </w:tcPr>
          <w:p>
            <w:pPr>
              <w:spacing w:after="0"/>
              <w:rPr>
                <w:sz w:val="20"/>
                <w:szCs w:val="20"/>
                <w:color w:val="auto"/>
              </w:rPr>
            </w:pPr>
            <w:r>
              <w:rPr>
                <w:rFonts w:ascii="Arial" w:cs="Arial" w:eastAsia="Arial" w:hAnsi="Arial"/>
                <w:sz w:val="18"/>
                <w:szCs w:val="18"/>
                <w:b w:val="1"/>
                <w:bCs w:val="1"/>
                <w:color w:val="auto"/>
                <w:w w:val="90"/>
              </w:rPr>
              <w:t>Reconciliation of Adjusted Comparable Store Sales Growth to Total Comparable Store Sales Growth</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6"/>
          </w:tcPr>
          <w:p>
            <w:pPr>
              <w:jc w:val="center"/>
              <w:ind w:right="120"/>
              <w:spacing w:after="0" w:line="235" w:lineRule="exact"/>
              <w:rPr>
                <w:sz w:val="20"/>
                <w:szCs w:val="20"/>
                <w:color w:val="auto"/>
              </w:rPr>
            </w:pPr>
            <w:r>
              <w:rPr>
                <w:rFonts w:ascii="Arial" w:cs="Arial" w:eastAsia="Arial" w:hAnsi="Arial"/>
                <w:sz w:val="18"/>
                <w:szCs w:val="18"/>
                <w:color w:val="auto"/>
                <w:w w:val="87"/>
              </w:rPr>
              <w:t xml:space="preserve">Comparable store sales growth </w:t>
            </w:r>
            <w:r>
              <w:rPr>
                <w:rFonts w:ascii="Arial" w:cs="Arial" w:eastAsia="Arial" w:hAnsi="Arial"/>
                <w:sz w:val="23"/>
                <w:szCs w:val="23"/>
                <w:color w:val="auto"/>
                <w:w w:val="87"/>
                <w:vertAlign w:val="superscript"/>
              </w:rPr>
              <w:t>(a)</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1"/>
              </w:rPr>
              <w:t>Three Months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Six Months Ended</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Ended July 2,</w:t>
            </w:r>
          </w:p>
        </w:tc>
        <w:tc>
          <w:tcPr>
            <w:tcW w:w="154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Ended July 3, 2021</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 2022</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3, 2021</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2022 Outlook</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Owned &amp; Host segment</w:t>
            </w: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America’s Best</w:t>
            </w: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81.8 %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54.9 %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Eyeglass World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Military</w:t>
            </w: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Fred Meyer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b w:val="1"/>
                <w:bCs w:val="1"/>
                <w:color w:val="auto"/>
              </w:rPr>
              <w:t>Legacy segment</w:t>
            </w: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Total comparable store sales growth</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 - (6%)</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Adjusted Comparable Store Sales Growth</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(b)</w:t>
            </w:r>
          </w:p>
        </w:tc>
        <w:tc>
          <w:tcPr>
            <w:tcW w:w="142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76.7 %</w:t>
            </w:r>
          </w:p>
        </w:tc>
        <w:tc>
          <w:tcPr>
            <w:tcW w:w="1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53.3 %</w:t>
            </w:r>
          </w:p>
        </w:tc>
        <w:tc>
          <w:tcPr>
            <w:tcW w:w="10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(8%) - (6.5%)</w:t>
            </w:r>
          </w:p>
        </w:tc>
        <w:tc>
          <w:tcPr>
            <w:tcW w:w="0" w:type="dxa"/>
            <w:vAlign w:val="bottom"/>
          </w:tcPr>
          <w:p>
            <w:pPr>
              <w:spacing w:after="0"/>
              <w:rPr>
                <w:sz w:val="1"/>
                <w:szCs w:val="1"/>
                <w:color w:val="auto"/>
              </w:rPr>
            </w:pPr>
          </w:p>
        </w:tc>
      </w:tr>
      <w:tr>
        <w:trPr>
          <w:trHeight w:val="54"/>
        </w:trPr>
        <w:tc>
          <w:tcPr>
            <w:tcW w:w="3180" w:type="dxa"/>
            <w:vAlign w:val="bottom"/>
            <w:shd w:val="clear" w:color="auto" w:fill="CCEEFF"/>
          </w:tcPr>
          <w:p>
            <w:pPr>
              <w:spacing w:after="0"/>
              <w:rPr>
                <w:sz w:val="4"/>
                <w:szCs w:val="4"/>
                <w:color w:val="auto"/>
              </w:rPr>
            </w:pPr>
          </w:p>
        </w:tc>
        <w:tc>
          <w:tcPr>
            <w:tcW w:w="14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80" w:right="400" w:hanging="328"/>
        <w:spacing w:after="0" w:line="294" w:lineRule="auto"/>
        <w:tabs>
          <w:tab w:leader="none" w:pos="377"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56" w:lineRule="exact"/>
        <w:rPr>
          <w:rFonts w:ascii="Arial" w:cs="Arial" w:eastAsia="Arial" w:hAnsi="Arial"/>
          <w:sz w:val="13"/>
          <w:szCs w:val="13"/>
          <w:color w:val="auto"/>
        </w:rPr>
      </w:pPr>
    </w:p>
    <w:p>
      <w:pPr>
        <w:jc w:val="both"/>
        <w:ind w:left="380" w:right="380" w:hanging="328"/>
        <w:spacing w:after="0" w:line="260" w:lineRule="auto"/>
        <w:tabs>
          <w:tab w:leader="none" w:pos="3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1.2% and a decrease of 21.6% for the three months ended July 2, 2022 and July 3, 2021, respectively, and a decrease of 1.4% and an increase of 4.4% for the six months ended July 2, 2022 and July 3, 2021,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0.2% and a decrease of 0.8% for the three months ended July 2, 2022 and July 3, 2021, respectively, and a decrease of 0.2% for the six months ended July 2, 2022; (iii) with respect to the Company’s 2022 Outlook, Adjusted Comparable Store Sales Growth includes an estimated 0.5% impact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0700"/>
          </w:cols>
          <w:pgMar w:left="600" w:top="1026" w:right="5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Senior Vice President of Investor Relations</w:t>
      </w:r>
    </w:p>
    <w:p>
      <w:pPr>
        <w:spacing w:after="0" w:line="32" w:lineRule="exact"/>
        <w:rPr>
          <w:sz w:val="20"/>
          <w:szCs w:val="20"/>
          <w:color w:val="auto"/>
        </w:rPr>
      </w:pPr>
    </w:p>
    <w:p>
      <w:pPr>
        <w:ind w:right="735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Racheal Peters, Manager of External Communications</w:t>
      </w:r>
    </w:p>
    <w:p>
      <w:pPr>
        <w:spacing w:after="0" w:line="9" w:lineRule="exact"/>
        <w:rPr>
          <w:sz w:val="20"/>
          <w:szCs w:val="20"/>
          <w:color w:val="auto"/>
        </w:rPr>
      </w:pPr>
    </w:p>
    <w:p>
      <w:pPr>
        <w:ind w:right="8159"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448-2303 media@nationalvision.com</w:t>
      </w:r>
    </w:p>
    <w:p>
      <w:pPr>
        <w:sectPr>
          <w:pgSz w:w="11900" w:h="16838" w:orient="portrait"/>
          <w:cols w:equalWidth="0" w:num="1">
            <w:col w:w="10139"/>
          </w:cols>
          <w:pgMar w:left="320" w:top="1228"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151765</wp:posOffset>
            </wp:positionV>
            <wp:extent cx="1105535"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940"/>
        <w:spacing w:after="0" w:line="309" w:lineRule="auto"/>
        <w:rPr>
          <w:sz w:val="20"/>
          <w:szCs w:val="20"/>
          <w:color w:val="auto"/>
        </w:rPr>
      </w:pPr>
      <w:r>
        <w:rPr>
          <w:rFonts w:ascii="Arial" w:cs="Arial" w:eastAsia="Arial" w:hAnsi="Arial"/>
          <w:sz w:val="35"/>
          <w:szCs w:val="35"/>
          <w:b w:val="1"/>
          <w:bCs w:val="1"/>
          <w:color w:val="003087"/>
        </w:rPr>
        <w:t>National Vision Announces Executive Promotions to Support Company Growth and Accelerate Value-Creation Initiatives</w:t>
      </w:r>
    </w:p>
    <w:p>
      <w:pPr>
        <w:sectPr>
          <w:pgSz w:w="11900" w:h="16838" w:orient="portrait"/>
          <w:cols w:equalWidth="0" w:num="1">
            <w:col w:w="11240"/>
          </w:cols>
          <w:pgMar w:left="320" w:top="553" w:right="339" w:bottom="1440" w:gutter="0" w:footer="0" w:header="0"/>
        </w:sectPr>
      </w:pPr>
    </w:p>
    <w:p>
      <w:pPr>
        <w:spacing w:after="0" w:line="17" w:lineRule="exact"/>
        <w:rPr>
          <w:sz w:val="20"/>
          <w:szCs w:val="20"/>
          <w:color w:val="auto"/>
        </w:rPr>
      </w:pPr>
    </w:p>
    <w:p>
      <w:pPr>
        <w:ind w:left="340"/>
        <w:spacing w:after="0"/>
        <w:rPr>
          <w:sz w:val="20"/>
          <w:szCs w:val="20"/>
          <w:color w:val="auto"/>
        </w:rPr>
      </w:pPr>
      <w:r>
        <w:rPr>
          <w:rFonts w:ascii="Arial" w:cs="Arial" w:eastAsia="Arial" w:hAnsi="Arial"/>
          <w:sz w:val="28"/>
          <w:szCs w:val="28"/>
          <w:i w:val="1"/>
          <w:iCs w:val="1"/>
          <w:color w:val="002F87"/>
        </w:rPr>
        <w: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28"/>
          <w:szCs w:val="28"/>
          <w:i w:val="1"/>
          <w:iCs w:val="1"/>
          <w:color w:val="002F87"/>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i w:val="1"/>
          <w:iCs w:val="1"/>
          <w:color w:val="002F87"/>
        </w:rPr>
        <w:t>Patrick Moore assumes additional role of Chief Operating Officer</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i w:val="1"/>
          <w:iCs w:val="1"/>
          <w:color w:val="002F87"/>
        </w:rPr>
        <w:t>Melissa Rasmussen to succeed Moore as Chief Financial Officer on Jan. 1, 2023</w:t>
      </w:r>
    </w:p>
    <w:p>
      <w:pPr>
        <w:spacing w:after="0" w:line="237" w:lineRule="exact"/>
        <w:rPr>
          <w:sz w:val="20"/>
          <w:szCs w:val="20"/>
          <w:color w:val="auto"/>
        </w:rPr>
      </w:pPr>
    </w:p>
    <w:p>
      <w:pPr>
        <w:sectPr>
          <w:pgSz w:w="11900" w:h="16838" w:orient="portrait"/>
          <w:cols w:equalWidth="0" w:num="2">
            <w:col w:w="440" w:space="200"/>
            <w:col w:w="10600"/>
          </w:cols>
          <w:pgMar w:left="320" w:top="553" w:right="339" w:bottom="1440" w:gutter="0" w:footer="0" w:header="0"/>
          <w:type w:val="continuous"/>
        </w:sectPr>
      </w:pPr>
    </w:p>
    <w:p>
      <w:pPr>
        <w:spacing w:after="0" w:line="35"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b w:val="1"/>
          <w:bCs w:val="1"/>
          <w:color w:val="202221"/>
        </w:rPr>
        <w:t xml:space="preserve">Duluth, Ga. </w:t>
      </w:r>
      <w:r>
        <w:rPr>
          <w:rFonts w:ascii="Arial" w:cs="Arial" w:eastAsia="Arial" w:hAnsi="Arial"/>
          <w:sz w:val="20"/>
          <w:szCs w:val="20"/>
          <w:color w:val="202221"/>
        </w:rPr>
        <w:t>(August 11, 2022) — National Vision Holdings, Inc. (NASDAQ: EYE) updated key leadership positions, including</w:t>
      </w:r>
      <w:r>
        <w:rPr>
          <w:rFonts w:ascii="Arial" w:cs="Arial" w:eastAsia="Arial" w:hAnsi="Arial"/>
          <w:sz w:val="20"/>
          <w:szCs w:val="20"/>
          <w:b w:val="1"/>
          <w:bCs w:val="1"/>
          <w:color w:val="202221"/>
        </w:rPr>
        <w:t xml:space="preserve"> </w:t>
      </w:r>
      <w:r>
        <w:rPr>
          <w:rFonts w:ascii="Arial" w:cs="Arial" w:eastAsia="Arial" w:hAnsi="Arial"/>
          <w:sz w:val="20"/>
          <w:szCs w:val="20"/>
          <w:color w:val="202221"/>
        </w:rPr>
        <w:t>announcing a new Chief Operating Officer role and the planned Chief Financial Officer succession process.</w:t>
      </w:r>
    </w:p>
    <w:p>
      <w:pPr>
        <w:spacing w:after="0" w:line="110"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202221"/>
        </w:rPr>
        <w:t>Patrick Moore, Chief Financial Officer, has been appointed to the role of Chief Operating Officer and will continue to serve as Chief Financial Officer through the end of 2022. As Chief Operating Officer, Moore will be leading the following functions: Retail Operations, Clinical Services, Real Estate, Labs, Manufacturing and Distribution, and Strategy.</w:t>
      </w:r>
    </w:p>
    <w:p>
      <w:pPr>
        <w:spacing w:after="0" w:line="132" w:lineRule="exact"/>
        <w:rPr>
          <w:sz w:val="20"/>
          <w:szCs w:val="20"/>
          <w:color w:val="auto"/>
        </w:rPr>
      </w:pPr>
    </w:p>
    <w:p>
      <w:pPr>
        <w:ind w:right="160"/>
        <w:spacing w:after="0" w:line="264" w:lineRule="auto"/>
        <w:rPr>
          <w:sz w:val="20"/>
          <w:szCs w:val="20"/>
          <w:color w:val="auto"/>
        </w:rPr>
      </w:pPr>
      <w:r>
        <w:rPr>
          <w:rFonts w:ascii="Arial" w:cs="Arial" w:eastAsia="Arial" w:hAnsi="Arial"/>
          <w:sz w:val="20"/>
          <w:szCs w:val="20"/>
          <w:color w:val="202221"/>
        </w:rPr>
        <w:t>Melissa Rasmussen, Senior Vice President, Accounting and Finance, has been appointed to succeed Moore as the company’s Chief Financial Officer, effective January 1, 2023. Moore will continue in the role of Chief Operating Officer following this transition.</w:t>
      </w:r>
    </w:p>
    <w:p>
      <w:pPr>
        <w:spacing w:after="0" w:line="132"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202221"/>
        </w:rPr>
        <w:t>“During his eight-year tenure as CFO, Patrick has always viewed our enterprise with a wide lens. He is capable of seeing the breadth of strengths and opportunities across our whole operations,” said Reade Fahs, Chief Executive Officer. “The COO role positions him to lead our cross-functional success at a very high level. And because of strong succession planning throughout the company, we have a deep bench of leadership talent to draw from to support these changes – I am thrilled that Melissa, a proven leader and talented executive, will be stepping into the CFO role."</w:t>
      </w:r>
    </w:p>
    <w:p>
      <w:pPr>
        <w:spacing w:after="0" w:line="141" w:lineRule="exact"/>
        <w:rPr>
          <w:sz w:val="20"/>
          <w:szCs w:val="20"/>
          <w:color w:val="auto"/>
        </w:rPr>
      </w:pPr>
    </w:p>
    <w:p>
      <w:pPr>
        <w:ind w:right="720"/>
        <w:spacing w:after="0" w:line="287" w:lineRule="auto"/>
        <w:rPr>
          <w:sz w:val="20"/>
          <w:szCs w:val="20"/>
          <w:color w:val="auto"/>
        </w:rPr>
      </w:pPr>
      <w:r>
        <w:rPr>
          <w:rFonts w:ascii="Arial" w:cs="Arial" w:eastAsia="Arial" w:hAnsi="Arial"/>
          <w:sz w:val="19"/>
          <w:szCs w:val="19"/>
          <w:color w:val="202221"/>
        </w:rPr>
        <w:t>Rasmussen draws on more than 20 years of financial leadership experience in diverse sectors, including manufacturing, healthcare, software and retail, and joined National Vision as Senior Vice President, Chief Accounting Officer, in 2019.</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202221"/>
        </w:rPr>
        <w:t>The Company announced additional leadership changes in the Finance and Operations functions.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202221"/>
        </w:rPr>
        <w:t>David Mann, Vice President, Investor Relations, has been promoted to Senior Vice President, Investor Relations.</w:t>
      </w:r>
    </w:p>
    <w:p>
      <w:pPr>
        <w:spacing w:after="0" w:line="162" w:lineRule="exact"/>
        <w:rPr>
          <w:sz w:val="20"/>
          <w:szCs w:val="20"/>
          <w:color w:val="auto"/>
        </w:rPr>
      </w:pPr>
    </w:p>
    <w:p>
      <w:pPr>
        <w:ind w:right="520"/>
        <w:spacing w:after="0" w:line="275" w:lineRule="auto"/>
        <w:rPr>
          <w:sz w:val="20"/>
          <w:szCs w:val="20"/>
          <w:color w:val="auto"/>
        </w:rPr>
      </w:pPr>
      <w:r>
        <w:rPr>
          <w:rFonts w:ascii="Arial" w:cs="Arial" w:eastAsia="Arial" w:hAnsi="Arial"/>
          <w:sz w:val="20"/>
          <w:szCs w:val="20"/>
          <w:color w:val="202221"/>
        </w:rPr>
        <w:t>Roger Francis, Chief Stores Officer, will be departing the Company to pursue an international leadership role at a company outside the optical industry, effective August 31, 2022. Heidi</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FAFAFA"/>
        </w:rPr>
        <w:t>1</w:t>
      </w:r>
    </w:p>
    <w:p>
      <w:pPr>
        <w:sectPr>
          <w:pgSz w:w="11900" w:h="16838" w:orient="portrait"/>
          <w:cols w:equalWidth="0" w:num="1">
            <w:col w:w="11240"/>
          </w:cols>
          <w:pgMar w:left="320" w:top="553" w:right="3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6234430</wp:posOffset>
            </wp:positionH>
            <wp:positionV relativeFrom="page">
              <wp:posOffset>663575</wp:posOffset>
            </wp:positionV>
            <wp:extent cx="110553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line="275" w:lineRule="auto"/>
        <w:rPr>
          <w:sz w:val="20"/>
          <w:szCs w:val="20"/>
          <w:color w:val="auto"/>
        </w:rPr>
      </w:pPr>
      <w:r>
        <w:rPr>
          <w:rFonts w:ascii="Arial" w:cs="Arial" w:eastAsia="Arial" w:hAnsi="Arial"/>
          <w:sz w:val="20"/>
          <w:szCs w:val="20"/>
          <w:color w:val="202221"/>
        </w:rPr>
        <w:t>Henneman, Vice President of Store Operations and a twenty-year veteran of the optical industry, has been promoted to Senior Vice President, Head of Stores.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202322"/>
        </w:rPr>
        <w:t>About National Vision Holdings, Inc.</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20"/>
          <w:szCs w:val="20"/>
          <w:color w:val="333333"/>
        </w:rPr>
        <w:t xml:space="preserve">National Vision Holdings, Inc. is the second largest optical retail company in the United States (by sales) with more than 1,300 stores in 44 states and Puerto Rico. With a mission of helping people by making quality eye care and eyewear more affordable and accessible, the company operates five retail brands: </w:t>
      </w:r>
      <w:r>
        <w:rPr>
          <w:rFonts w:ascii="Arial" w:cs="Arial" w:eastAsia="Arial" w:hAnsi="Arial"/>
          <w:sz w:val="20"/>
          <w:szCs w:val="20"/>
          <w:u w:val="single" w:color="auto"/>
          <w:color w:val="E56A53"/>
        </w:rPr>
        <w:t>America’s Best Contacts &amp; Eyeglasses</w:t>
      </w:r>
      <w:r>
        <w:rPr>
          <w:rFonts w:ascii="Arial" w:cs="Arial" w:eastAsia="Arial" w:hAnsi="Arial"/>
          <w:sz w:val="20"/>
          <w:szCs w:val="20"/>
          <w:color w:val="333333"/>
        </w:rPr>
        <w:t xml:space="preserve">, </w:t>
      </w:r>
      <w:r>
        <w:rPr>
          <w:rFonts w:ascii="Arial" w:cs="Arial" w:eastAsia="Arial" w:hAnsi="Arial"/>
          <w:sz w:val="20"/>
          <w:szCs w:val="20"/>
          <w:u w:val="single" w:color="auto"/>
          <w:color w:val="E56A53"/>
        </w:rPr>
        <w:t>Eyeglass World</w:t>
      </w:r>
      <w:r>
        <w:rPr>
          <w:rFonts w:ascii="Arial" w:cs="Arial" w:eastAsia="Arial" w:hAnsi="Arial"/>
          <w:sz w:val="20"/>
          <w:szCs w:val="20"/>
          <w:color w:val="333333"/>
        </w:rPr>
        <w:t xml:space="preserve">, </w:t>
      </w:r>
      <w:r>
        <w:rPr>
          <w:rFonts w:ascii="Arial" w:cs="Arial" w:eastAsia="Arial" w:hAnsi="Arial"/>
          <w:sz w:val="20"/>
          <w:szCs w:val="20"/>
          <w:u w:val="single" w:color="auto"/>
          <w:color w:val="E56A53"/>
        </w:rPr>
        <w:t>Vision</w:t>
      </w:r>
      <w:r>
        <w:rPr>
          <w:rFonts w:ascii="Arial" w:cs="Arial" w:eastAsia="Arial" w:hAnsi="Arial"/>
          <w:sz w:val="20"/>
          <w:szCs w:val="20"/>
          <w:color w:val="333333"/>
        </w:rPr>
        <w:t xml:space="preserve"> </w:t>
      </w:r>
      <w:r>
        <w:rPr>
          <w:rFonts w:ascii="Arial" w:cs="Arial" w:eastAsia="Arial" w:hAnsi="Arial"/>
          <w:sz w:val="20"/>
          <w:szCs w:val="20"/>
          <w:u w:val="single" w:color="auto"/>
          <w:color w:val="E56A53"/>
        </w:rPr>
        <w:t>Centers</w:t>
      </w:r>
      <w:r>
        <w:rPr>
          <w:rFonts w:ascii="Arial" w:cs="Arial" w:eastAsia="Arial" w:hAnsi="Arial"/>
          <w:sz w:val="20"/>
          <w:szCs w:val="20"/>
          <w:color w:val="E56A53"/>
        </w:rPr>
        <w:t xml:space="preserve"> </w:t>
      </w:r>
      <w:r>
        <w:rPr>
          <w:rFonts w:ascii="Arial" w:cs="Arial" w:eastAsia="Arial" w:hAnsi="Arial"/>
          <w:sz w:val="20"/>
          <w:szCs w:val="20"/>
          <w:color w:val="333333"/>
        </w:rPr>
        <w:t>inside select Walmart stores, and Vista Opticals inside select</w:t>
      </w:r>
      <w:r>
        <w:rPr>
          <w:rFonts w:ascii="Arial" w:cs="Arial" w:eastAsia="Arial" w:hAnsi="Arial"/>
          <w:sz w:val="20"/>
          <w:szCs w:val="20"/>
          <w:color w:val="E56A53"/>
        </w:rPr>
        <w:t xml:space="preserve"> </w:t>
      </w:r>
      <w:r>
        <w:rPr>
          <w:rFonts w:ascii="Arial" w:cs="Arial" w:eastAsia="Arial" w:hAnsi="Arial"/>
          <w:sz w:val="20"/>
          <w:szCs w:val="20"/>
          <w:u w:val="single" w:color="auto"/>
          <w:color w:val="E56A53"/>
        </w:rPr>
        <w:t>Fred Meyer stores</w:t>
      </w:r>
      <w:r>
        <w:rPr>
          <w:rFonts w:ascii="Arial" w:cs="Arial" w:eastAsia="Arial" w:hAnsi="Arial"/>
          <w:sz w:val="20"/>
          <w:szCs w:val="20"/>
          <w:color w:val="E56A53"/>
        </w:rPr>
        <w:t xml:space="preserve"> </w:t>
      </w:r>
      <w:r>
        <w:rPr>
          <w:rFonts w:ascii="Arial" w:cs="Arial" w:eastAsia="Arial" w:hAnsi="Arial"/>
          <w:sz w:val="20"/>
          <w:szCs w:val="20"/>
          <w:color w:val="333333"/>
        </w:rPr>
        <w:t>and on select</w:t>
      </w:r>
      <w:r>
        <w:rPr>
          <w:rFonts w:ascii="Arial" w:cs="Arial" w:eastAsia="Arial" w:hAnsi="Arial"/>
          <w:sz w:val="20"/>
          <w:szCs w:val="20"/>
          <w:color w:val="E56A53"/>
        </w:rPr>
        <w:t xml:space="preserve"> </w:t>
      </w:r>
      <w:r>
        <w:rPr>
          <w:rFonts w:ascii="Arial" w:cs="Arial" w:eastAsia="Arial" w:hAnsi="Arial"/>
          <w:sz w:val="20"/>
          <w:szCs w:val="20"/>
          <w:u w:val="single" w:color="auto"/>
          <w:color w:val="E56A53"/>
        </w:rPr>
        <w:t>military bases</w:t>
      </w:r>
      <w:r>
        <w:rPr>
          <w:rFonts w:ascii="Arial" w:cs="Arial" w:eastAsia="Arial" w:hAnsi="Arial"/>
          <w:sz w:val="20"/>
          <w:szCs w:val="20"/>
          <w:color w:val="333333"/>
        </w:rPr>
        <w:t>, and</w:t>
      </w:r>
      <w:r>
        <w:rPr>
          <w:rFonts w:ascii="Arial" w:cs="Arial" w:eastAsia="Arial" w:hAnsi="Arial"/>
          <w:sz w:val="20"/>
          <w:szCs w:val="20"/>
          <w:color w:val="E56A53"/>
        </w:rPr>
        <w:t xml:space="preserve"> </w:t>
      </w:r>
      <w:r>
        <w:rPr>
          <w:rFonts w:ascii="Arial" w:cs="Arial" w:eastAsia="Arial" w:hAnsi="Arial"/>
          <w:sz w:val="20"/>
          <w:szCs w:val="20"/>
          <w:color w:val="333333"/>
        </w:rPr>
        <w:t xml:space="preserve">several e-commerce websites, offering a variety of products and services for customers’ eye care needs. For more information, please visit </w:t>
      </w:r>
      <w:r>
        <w:rPr>
          <w:rFonts w:ascii="Arial" w:cs="Arial" w:eastAsia="Arial" w:hAnsi="Arial"/>
          <w:sz w:val="20"/>
          <w:szCs w:val="20"/>
          <w:u w:val="single" w:color="auto"/>
          <w:color w:val="E56A53"/>
        </w:rPr>
        <w:t>www.nationalvision.com</w:t>
      </w:r>
      <w:r>
        <w:rPr>
          <w:rFonts w:ascii="Arial" w:cs="Arial" w:eastAsia="Arial" w:hAnsi="Arial"/>
          <w:sz w:val="20"/>
          <w:szCs w:val="20"/>
          <w:color w:val="333333"/>
        </w:rPr>
        <w:t>.</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202221"/>
        </w:rPr>
        <w:t>Media Contacts: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202221"/>
        </w:rPr>
        <w:t>David Mann, Senior Vice President of Investor Relations</w:t>
      </w:r>
    </w:p>
    <w:p>
      <w:pPr>
        <w:spacing w:after="0" w:line="27" w:lineRule="exact"/>
        <w:rPr>
          <w:sz w:val="20"/>
          <w:szCs w:val="20"/>
          <w:color w:val="auto"/>
        </w:rPr>
      </w:pPr>
    </w:p>
    <w:p>
      <w:pPr>
        <w:ind w:right="7700" w:firstLine="8"/>
        <w:spacing w:after="0" w:line="317" w:lineRule="auto"/>
        <w:tabs>
          <w:tab w:leader="none" w:pos="517" w:val="left"/>
        </w:tabs>
        <w:numPr>
          <w:ilvl w:val="0"/>
          <w:numId w:val="13"/>
        </w:numPr>
        <w:rPr>
          <w:rFonts w:ascii="Arial" w:cs="Arial" w:eastAsia="Arial" w:hAnsi="Arial"/>
          <w:sz w:val="19"/>
          <w:szCs w:val="19"/>
          <w:color w:val="202221"/>
        </w:rPr>
      </w:pPr>
      <w:r>
        <w:rPr>
          <w:rFonts w:ascii="Arial" w:cs="Arial" w:eastAsia="Arial" w:hAnsi="Arial"/>
          <w:sz w:val="19"/>
          <w:szCs w:val="19"/>
          <w:color w:val="202221"/>
        </w:rPr>
        <w:t xml:space="preserve">448-2448 </w:t>
      </w:r>
      <w:r>
        <w:rPr>
          <w:rFonts w:ascii="Arial" w:cs="Arial" w:eastAsia="Arial" w:hAnsi="Arial"/>
          <w:sz w:val="19"/>
          <w:szCs w:val="19"/>
          <w:u w:val="single" w:color="auto"/>
          <w:color w:val="E56A53"/>
        </w:rPr>
        <w:t>Investor.Relations@nationalvision.com</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202221"/>
        </w:rPr>
        <w:t>Racheal Peters, Manager of External Communications</w:t>
      </w:r>
    </w:p>
    <w:p>
      <w:pPr>
        <w:spacing w:after="0" w:line="27" w:lineRule="exact"/>
        <w:rPr>
          <w:sz w:val="20"/>
          <w:szCs w:val="20"/>
          <w:color w:val="auto"/>
        </w:rPr>
      </w:pPr>
    </w:p>
    <w:p>
      <w:pPr>
        <w:ind w:right="8720" w:firstLine="8"/>
        <w:spacing w:after="0" w:line="317" w:lineRule="auto"/>
        <w:tabs>
          <w:tab w:leader="none" w:pos="517" w:val="left"/>
        </w:tabs>
        <w:numPr>
          <w:ilvl w:val="0"/>
          <w:numId w:val="14"/>
        </w:numPr>
        <w:rPr>
          <w:rFonts w:ascii="Arial" w:cs="Arial" w:eastAsia="Arial" w:hAnsi="Arial"/>
          <w:sz w:val="19"/>
          <w:szCs w:val="19"/>
          <w:color w:val="202221"/>
        </w:rPr>
      </w:pPr>
      <w:r>
        <w:rPr>
          <w:rFonts w:ascii="Arial" w:cs="Arial" w:eastAsia="Arial" w:hAnsi="Arial"/>
          <w:sz w:val="19"/>
          <w:szCs w:val="19"/>
          <w:color w:val="202221"/>
        </w:rPr>
        <w:t xml:space="preserve">448-2303 </w:t>
      </w:r>
      <w:r>
        <w:rPr>
          <w:rFonts w:ascii="Arial" w:cs="Arial" w:eastAsia="Arial" w:hAnsi="Arial"/>
          <w:sz w:val="19"/>
          <w:szCs w:val="19"/>
          <w:u w:val="single" w:color="auto"/>
          <w:color w:val="E56A53"/>
        </w:rPr>
        <w:t>media@nationalvision.com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AFAFA"/>
        </w:rPr>
        <w:t>2</w:t>
      </w:r>
    </w:p>
    <w:sectPr>
      <w:pgSz w:w="11900" w:h="16838" w:orient="portrait"/>
      <w:cols w:equalWidth="0" w:num="1">
        <w:col w:w="11100"/>
      </w:cols>
      <w:pgMar w:left="3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470"/>
    </w:lvl>
  </w:abstractNum>
  <w:abstractNum w:abstractNumId="11">
    <w:nsid w:val="3352255A"/>
    <w:multiLevelType w:val="hybridMultilevel"/>
    <w:lvl w:ilvl="0">
      <w:lvlJc w:val="left"/>
      <w:lvlText w:val="(%1)"/>
      <w:numFmt w:val="decimal"/>
      <w:start w:val="470"/>
    </w:lvl>
  </w:abstractNum>
  <w:abstractNum w:abstractNumId="12">
    <w:nsid w:val="109CF92E"/>
    <w:multiLevelType w:val="hybridMultilevel"/>
    <w:lvl w:ilvl="0">
      <w:lvlJc w:val="left"/>
      <w:lvlText w:val="(%1)"/>
      <w:numFmt w:val="decimal"/>
      <w:start w:val="470"/>
    </w:lvl>
  </w:abstractNum>
  <w:abstractNum w:abstractNumId="13">
    <w:nsid w:val="DED7263"/>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2022-08-11T05:32:16Z</dcterms:created>
  <dcterms:modified xsi:type="dcterms:W3CDTF">2022-08-11T05:32:16Z</dcterms:modified>
</cp:coreProperties>
</file>